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E6DD" w14:textId="77777777" w:rsidR="00A4623B" w:rsidRDefault="00A4623B" w:rsidP="00D6192E">
      <w:pPr>
        <w:pStyle w:val="Sinespaciado"/>
        <w:jc w:val="both"/>
        <w:rPr>
          <w:sz w:val="24"/>
        </w:rPr>
      </w:pPr>
    </w:p>
    <w:p w14:paraId="3A602D03" w14:textId="0CCFDF40" w:rsidR="00154E47" w:rsidRPr="00CB01EF" w:rsidRDefault="00154E47" w:rsidP="00D6192E">
      <w:pPr>
        <w:pStyle w:val="Sinespaciado"/>
        <w:jc w:val="both"/>
        <w:rPr>
          <w:sz w:val="24"/>
        </w:rPr>
      </w:pPr>
      <w:r w:rsidRPr="00CB01EF">
        <w:rPr>
          <w:sz w:val="24"/>
        </w:rPr>
        <w:t>VIÑETA</w:t>
      </w:r>
      <w:r w:rsidR="00A60231">
        <w:rPr>
          <w:sz w:val="24"/>
        </w:rPr>
        <w:t xml:space="preserve"> </w:t>
      </w:r>
      <w:r w:rsidRPr="00CB01EF">
        <w:rPr>
          <w:sz w:val="24"/>
        </w:rPr>
        <w:t>DEL</w:t>
      </w:r>
      <w:r w:rsidR="00A60231">
        <w:rPr>
          <w:sz w:val="24"/>
        </w:rPr>
        <w:t xml:space="preserve"> </w:t>
      </w:r>
      <w:r w:rsidRPr="00CB01EF">
        <w:rPr>
          <w:sz w:val="24"/>
        </w:rPr>
        <w:t>ENSAYO</w:t>
      </w:r>
      <w:r w:rsidR="00A60231">
        <w:rPr>
          <w:sz w:val="24"/>
        </w:rPr>
        <w:t xml:space="preserve"> </w:t>
      </w:r>
      <w:r w:rsidRPr="00CB01EF">
        <w:rPr>
          <w:sz w:val="24"/>
        </w:rPr>
        <w:t>CLÍNICO:</w:t>
      </w:r>
    </w:p>
    <w:p w14:paraId="16AB94B3" w14:textId="3071FD66" w:rsidR="00D6192E" w:rsidRPr="00154E47" w:rsidRDefault="00F11505" w:rsidP="00D6192E">
      <w:pPr>
        <w:pStyle w:val="Sinespaciado"/>
        <w:jc w:val="both"/>
        <w:rPr>
          <w:b/>
          <w:sz w:val="28"/>
        </w:rPr>
      </w:pPr>
      <w:r>
        <w:rPr>
          <w:b/>
          <w:sz w:val="28"/>
        </w:rPr>
        <w:t>CRE</w:t>
      </w:r>
      <w:r w:rsidR="007F67D3">
        <w:rPr>
          <w:b/>
          <w:sz w:val="28"/>
        </w:rPr>
        <w:t>D</w:t>
      </w:r>
      <w:r>
        <w:rPr>
          <w:b/>
          <w:sz w:val="28"/>
        </w:rPr>
        <w:t>ENCE</w:t>
      </w:r>
      <w:r w:rsidR="00802AF3">
        <w:rPr>
          <w:b/>
          <w:sz w:val="28"/>
        </w:rPr>
        <w:t xml:space="preserve">: </w:t>
      </w:r>
      <w:r w:rsidR="00553E30">
        <w:rPr>
          <w:b/>
          <w:sz w:val="28"/>
        </w:rPr>
        <w:t xml:space="preserve">Eventos CV y renales en pacientes </w:t>
      </w:r>
      <w:r w:rsidR="00C861C8">
        <w:rPr>
          <w:b/>
          <w:sz w:val="28"/>
        </w:rPr>
        <w:t xml:space="preserve">con DM2 y </w:t>
      </w:r>
      <w:r w:rsidR="00553E30">
        <w:rPr>
          <w:b/>
          <w:sz w:val="28"/>
        </w:rPr>
        <w:t>enfermedad renal, a cuyo tratamiento estándar se añade Cana</w:t>
      </w:r>
      <w:r w:rsidR="00D731C9">
        <w:rPr>
          <w:b/>
          <w:sz w:val="28"/>
        </w:rPr>
        <w:t>gliflo</w:t>
      </w:r>
      <w:r w:rsidR="00553E30">
        <w:rPr>
          <w:b/>
          <w:sz w:val="28"/>
        </w:rPr>
        <w:t xml:space="preserve">zina </w:t>
      </w:r>
      <w:r w:rsidR="00553E30" w:rsidRPr="00D368FD">
        <w:rPr>
          <w:b/>
          <w:sz w:val="28"/>
        </w:rPr>
        <w:t xml:space="preserve">frente a </w:t>
      </w:r>
      <w:r w:rsidR="00553E30">
        <w:rPr>
          <w:b/>
          <w:sz w:val="28"/>
        </w:rPr>
        <w:t>Placebo, durante 30 meses.</w:t>
      </w:r>
    </w:p>
    <w:p w14:paraId="4F744AE1" w14:textId="77777777" w:rsidR="00A60231" w:rsidRPr="00D731C9" w:rsidRDefault="000448F4" w:rsidP="00B27C2C">
      <w:pPr>
        <w:pStyle w:val="Sinespaciado"/>
        <w:rPr>
          <w:color w:val="000000" w:themeColor="text1"/>
          <w:sz w:val="18"/>
          <w:szCs w:val="18"/>
        </w:rPr>
      </w:pPr>
      <w:proofErr w:type="spellStart"/>
      <w:r w:rsidRPr="00D731C9">
        <w:rPr>
          <w:color w:val="000000" w:themeColor="text1"/>
          <w:sz w:val="18"/>
          <w:szCs w:val="18"/>
        </w:rPr>
        <w:t>Perkovic</w:t>
      </w:r>
      <w:proofErr w:type="spellEnd"/>
      <w:r w:rsidRPr="00D731C9">
        <w:rPr>
          <w:color w:val="000000" w:themeColor="text1"/>
          <w:sz w:val="18"/>
          <w:szCs w:val="18"/>
        </w:rPr>
        <w:t xml:space="preserve"> V, </w:t>
      </w:r>
      <w:proofErr w:type="spellStart"/>
      <w:r w:rsidRPr="00D731C9">
        <w:rPr>
          <w:color w:val="000000" w:themeColor="text1"/>
          <w:sz w:val="18"/>
          <w:szCs w:val="18"/>
        </w:rPr>
        <w:t>Jardine</w:t>
      </w:r>
      <w:proofErr w:type="spellEnd"/>
      <w:r w:rsidRPr="00D731C9">
        <w:rPr>
          <w:color w:val="000000" w:themeColor="text1"/>
          <w:sz w:val="18"/>
          <w:szCs w:val="18"/>
        </w:rPr>
        <w:t xml:space="preserve"> MJ, Neal B, </w:t>
      </w:r>
      <w:proofErr w:type="spellStart"/>
      <w:r w:rsidRPr="00D731C9">
        <w:rPr>
          <w:color w:val="000000" w:themeColor="text1"/>
          <w:sz w:val="18"/>
          <w:szCs w:val="18"/>
        </w:rPr>
        <w:t>Bompoint</w:t>
      </w:r>
      <w:proofErr w:type="spellEnd"/>
      <w:r w:rsidRPr="00D731C9">
        <w:rPr>
          <w:color w:val="000000" w:themeColor="text1"/>
          <w:sz w:val="18"/>
          <w:szCs w:val="18"/>
        </w:rPr>
        <w:t xml:space="preserve"> S, </w:t>
      </w:r>
      <w:proofErr w:type="spellStart"/>
      <w:r w:rsidRPr="00D731C9">
        <w:rPr>
          <w:color w:val="000000" w:themeColor="text1"/>
          <w:sz w:val="18"/>
          <w:szCs w:val="18"/>
        </w:rPr>
        <w:t>on</w:t>
      </w:r>
      <w:proofErr w:type="spellEnd"/>
      <w:r w:rsidRPr="00D731C9">
        <w:rPr>
          <w:color w:val="000000" w:themeColor="text1"/>
          <w:sz w:val="18"/>
          <w:szCs w:val="18"/>
        </w:rPr>
        <w:t xml:space="preserve"> </w:t>
      </w:r>
      <w:proofErr w:type="spellStart"/>
      <w:r w:rsidRPr="00D731C9">
        <w:rPr>
          <w:color w:val="000000" w:themeColor="text1"/>
          <w:sz w:val="18"/>
          <w:szCs w:val="18"/>
        </w:rPr>
        <w:t>behalf</w:t>
      </w:r>
      <w:proofErr w:type="spellEnd"/>
      <w:r w:rsidRPr="00D731C9">
        <w:rPr>
          <w:color w:val="000000" w:themeColor="text1"/>
          <w:sz w:val="18"/>
          <w:szCs w:val="18"/>
        </w:rPr>
        <w:t xml:space="preserve"> </w:t>
      </w:r>
      <w:proofErr w:type="spellStart"/>
      <w:r w:rsidRPr="00D731C9">
        <w:rPr>
          <w:color w:val="000000" w:themeColor="text1"/>
          <w:sz w:val="18"/>
          <w:szCs w:val="18"/>
        </w:rPr>
        <w:t>of</w:t>
      </w:r>
      <w:proofErr w:type="spellEnd"/>
      <w:r w:rsidRPr="00D731C9">
        <w:rPr>
          <w:color w:val="000000" w:themeColor="text1"/>
          <w:sz w:val="18"/>
          <w:szCs w:val="18"/>
        </w:rPr>
        <w:t xml:space="preserve"> </w:t>
      </w:r>
      <w:proofErr w:type="spellStart"/>
      <w:r w:rsidRPr="00D731C9">
        <w:rPr>
          <w:color w:val="000000" w:themeColor="text1"/>
          <w:sz w:val="18"/>
          <w:szCs w:val="18"/>
        </w:rPr>
        <w:t>the</w:t>
      </w:r>
      <w:proofErr w:type="spellEnd"/>
      <w:r w:rsidRPr="00D731C9">
        <w:rPr>
          <w:color w:val="000000" w:themeColor="text1"/>
          <w:sz w:val="18"/>
          <w:szCs w:val="18"/>
        </w:rPr>
        <w:t xml:space="preserve"> CREDENCE Trial </w:t>
      </w:r>
      <w:proofErr w:type="spellStart"/>
      <w:r w:rsidRPr="00D731C9">
        <w:rPr>
          <w:color w:val="000000" w:themeColor="text1"/>
          <w:sz w:val="18"/>
          <w:szCs w:val="18"/>
        </w:rPr>
        <w:t>Investigators</w:t>
      </w:r>
      <w:proofErr w:type="spellEnd"/>
      <w:r w:rsidRPr="00D731C9">
        <w:rPr>
          <w:color w:val="000000" w:themeColor="text1"/>
          <w:sz w:val="18"/>
          <w:szCs w:val="18"/>
        </w:rPr>
        <w:t xml:space="preserve">. </w:t>
      </w:r>
      <w:proofErr w:type="spellStart"/>
      <w:r w:rsidRPr="00D731C9">
        <w:rPr>
          <w:color w:val="000000" w:themeColor="text1"/>
          <w:sz w:val="18"/>
          <w:szCs w:val="18"/>
        </w:rPr>
        <w:t>Canagliflozin</w:t>
      </w:r>
      <w:proofErr w:type="spellEnd"/>
      <w:r w:rsidRPr="00D731C9">
        <w:rPr>
          <w:color w:val="000000" w:themeColor="text1"/>
          <w:sz w:val="18"/>
          <w:szCs w:val="18"/>
        </w:rPr>
        <w:t xml:space="preserve"> and Renal </w:t>
      </w:r>
      <w:proofErr w:type="spellStart"/>
      <w:r w:rsidRPr="00D731C9">
        <w:rPr>
          <w:color w:val="000000" w:themeColor="text1"/>
          <w:sz w:val="18"/>
          <w:szCs w:val="18"/>
        </w:rPr>
        <w:t>Outcomes</w:t>
      </w:r>
      <w:proofErr w:type="spellEnd"/>
      <w:r w:rsidRPr="00D731C9">
        <w:rPr>
          <w:color w:val="000000" w:themeColor="text1"/>
          <w:sz w:val="18"/>
          <w:szCs w:val="18"/>
        </w:rPr>
        <w:t xml:space="preserve"> in </w:t>
      </w:r>
      <w:proofErr w:type="spellStart"/>
      <w:r w:rsidRPr="00D731C9">
        <w:rPr>
          <w:color w:val="000000" w:themeColor="text1"/>
          <w:sz w:val="18"/>
          <w:szCs w:val="18"/>
        </w:rPr>
        <w:t>Type</w:t>
      </w:r>
      <w:proofErr w:type="spellEnd"/>
      <w:r w:rsidRPr="00D731C9">
        <w:rPr>
          <w:color w:val="000000" w:themeColor="text1"/>
          <w:sz w:val="18"/>
          <w:szCs w:val="18"/>
        </w:rPr>
        <w:t xml:space="preserve"> 2 Diabetes and </w:t>
      </w:r>
      <w:proofErr w:type="spellStart"/>
      <w:r w:rsidRPr="00D731C9">
        <w:rPr>
          <w:color w:val="000000" w:themeColor="text1"/>
          <w:sz w:val="18"/>
          <w:szCs w:val="18"/>
        </w:rPr>
        <w:t>Nephropathy</w:t>
      </w:r>
      <w:proofErr w:type="spellEnd"/>
      <w:r w:rsidRPr="00D731C9">
        <w:rPr>
          <w:color w:val="000000" w:themeColor="text1"/>
          <w:sz w:val="18"/>
          <w:szCs w:val="18"/>
        </w:rPr>
        <w:t xml:space="preserve">. N Engl J </w:t>
      </w:r>
      <w:proofErr w:type="spellStart"/>
      <w:r w:rsidRPr="00D731C9">
        <w:rPr>
          <w:color w:val="000000" w:themeColor="text1"/>
          <w:sz w:val="18"/>
          <w:szCs w:val="18"/>
        </w:rPr>
        <w:t>Med</w:t>
      </w:r>
      <w:proofErr w:type="spellEnd"/>
      <w:r w:rsidRPr="00D731C9">
        <w:rPr>
          <w:color w:val="000000" w:themeColor="text1"/>
          <w:sz w:val="18"/>
          <w:szCs w:val="18"/>
        </w:rPr>
        <w:t xml:space="preserve">. 2019 </w:t>
      </w:r>
      <w:proofErr w:type="gramStart"/>
      <w:r w:rsidRPr="00D731C9">
        <w:rPr>
          <w:color w:val="000000" w:themeColor="text1"/>
          <w:sz w:val="18"/>
          <w:szCs w:val="18"/>
        </w:rPr>
        <w:t>Jun</w:t>
      </w:r>
      <w:proofErr w:type="gramEnd"/>
      <w:r w:rsidRPr="00D731C9">
        <w:rPr>
          <w:color w:val="000000" w:themeColor="text1"/>
          <w:sz w:val="18"/>
          <w:szCs w:val="18"/>
        </w:rPr>
        <w:t xml:space="preserve"> 13;380(24):2295-2306.</w:t>
      </w:r>
    </w:p>
    <w:p w14:paraId="3B6967E4" w14:textId="77777777" w:rsidR="00A60231" w:rsidRDefault="00A60231" w:rsidP="00950F0F">
      <w:pPr>
        <w:pStyle w:val="Sinespaciado"/>
        <w:jc w:val="both"/>
        <w:rPr>
          <w:rFonts w:cstheme="minorHAnsi"/>
        </w:rPr>
      </w:pPr>
    </w:p>
    <w:p w14:paraId="2E861576" w14:textId="21F2239E" w:rsidR="00BB1FDD" w:rsidRPr="00D731C9" w:rsidRDefault="00596116" w:rsidP="00BB1FDD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 w:themeColor="text1"/>
          <w:sz w:val="18"/>
        </w:rPr>
      </w:pPr>
      <w:r w:rsidRPr="00D731C9">
        <w:rPr>
          <w:color w:val="000000" w:themeColor="text1"/>
          <w:sz w:val="18"/>
          <w:u w:val="single"/>
        </w:rPr>
        <w:t>Abreviaturas</w:t>
      </w:r>
      <w:r w:rsidRPr="00D731C9">
        <w:rPr>
          <w:color w:val="000000" w:themeColor="text1"/>
          <w:sz w:val="18"/>
        </w:rPr>
        <w:t xml:space="preserve">: </w:t>
      </w:r>
      <w:r w:rsidR="004D1095" w:rsidRPr="00D731C9">
        <w:rPr>
          <w:b/>
          <w:color w:val="000000" w:themeColor="text1"/>
          <w:sz w:val="18"/>
        </w:rPr>
        <w:t xml:space="preserve">CV: </w:t>
      </w:r>
      <w:r w:rsidR="004D1095" w:rsidRPr="00D731C9">
        <w:rPr>
          <w:color w:val="000000" w:themeColor="text1"/>
          <w:sz w:val="18"/>
        </w:rPr>
        <w:t xml:space="preserve">cardiovascular; </w:t>
      </w:r>
      <w:r w:rsidRPr="00D731C9">
        <w:rPr>
          <w:b/>
          <w:color w:val="000000" w:themeColor="text1"/>
          <w:sz w:val="18"/>
        </w:rPr>
        <w:t xml:space="preserve">DM2: </w:t>
      </w:r>
      <w:r w:rsidRPr="00D731C9">
        <w:rPr>
          <w:color w:val="000000" w:themeColor="text1"/>
          <w:sz w:val="18"/>
        </w:rPr>
        <w:t xml:space="preserve">diabetes mellitus tipo 2; </w:t>
      </w:r>
      <w:r w:rsidR="000448F4" w:rsidRPr="00D731C9">
        <w:rPr>
          <w:b/>
          <w:color w:val="000000" w:themeColor="text1"/>
          <w:sz w:val="18"/>
        </w:rPr>
        <w:t>ERC:</w:t>
      </w:r>
      <w:r w:rsidR="000448F4" w:rsidRPr="00D731C9">
        <w:rPr>
          <w:color w:val="000000" w:themeColor="text1"/>
          <w:sz w:val="18"/>
        </w:rPr>
        <w:t xml:space="preserve"> enfermedad renal crónica;</w:t>
      </w:r>
      <w:r w:rsidR="000448F4" w:rsidRPr="00D731C9">
        <w:rPr>
          <w:b/>
          <w:color w:val="000000" w:themeColor="text1"/>
          <w:sz w:val="18"/>
        </w:rPr>
        <w:t xml:space="preserve"> </w:t>
      </w:r>
      <w:r w:rsidR="00DD1842" w:rsidRPr="00D731C9">
        <w:rPr>
          <w:b/>
          <w:color w:val="000000" w:themeColor="text1"/>
          <w:sz w:val="18"/>
        </w:rPr>
        <w:t>ERT:</w:t>
      </w:r>
      <w:r w:rsidR="00DD1842" w:rsidRPr="00D731C9">
        <w:rPr>
          <w:color w:val="000000" w:themeColor="text1"/>
          <w:sz w:val="18"/>
        </w:rPr>
        <w:t xml:space="preserve"> enfermedad renal en </w:t>
      </w:r>
      <w:r w:rsidR="0062125C" w:rsidRPr="00D731C9">
        <w:rPr>
          <w:color w:val="000000" w:themeColor="text1"/>
          <w:sz w:val="18"/>
        </w:rPr>
        <w:t xml:space="preserve">etapa </w:t>
      </w:r>
      <w:r w:rsidR="00F1088B" w:rsidRPr="00D731C9">
        <w:rPr>
          <w:color w:val="000000" w:themeColor="text1"/>
          <w:sz w:val="18"/>
        </w:rPr>
        <w:t>t</w:t>
      </w:r>
      <w:r w:rsidR="0062125C" w:rsidRPr="00D731C9">
        <w:rPr>
          <w:color w:val="000000" w:themeColor="text1"/>
          <w:sz w:val="18"/>
        </w:rPr>
        <w:t>erminal</w:t>
      </w:r>
      <w:r w:rsidR="00DD1842" w:rsidRPr="00D731C9">
        <w:rPr>
          <w:color w:val="000000" w:themeColor="text1"/>
          <w:sz w:val="18"/>
        </w:rPr>
        <w:t xml:space="preserve">; </w:t>
      </w:r>
      <w:r w:rsidRPr="00D731C9">
        <w:rPr>
          <w:b/>
          <w:color w:val="000000" w:themeColor="text1"/>
          <w:sz w:val="18"/>
        </w:rPr>
        <w:t>FGe:</w:t>
      </w:r>
      <w:r w:rsidRPr="00D731C9">
        <w:rPr>
          <w:color w:val="000000" w:themeColor="text1"/>
          <w:sz w:val="18"/>
        </w:rPr>
        <w:t xml:space="preserve"> filtración glomerular estimada en ml/ minuto/ 1,73 m</w:t>
      </w:r>
      <w:r w:rsidRPr="00D731C9">
        <w:rPr>
          <w:color w:val="000000" w:themeColor="text1"/>
          <w:sz w:val="18"/>
          <w:vertAlign w:val="superscript"/>
        </w:rPr>
        <w:t>2</w:t>
      </w:r>
      <w:r w:rsidRPr="00D731C9">
        <w:rPr>
          <w:color w:val="000000" w:themeColor="text1"/>
          <w:sz w:val="18"/>
        </w:rPr>
        <w:t xml:space="preserve"> de superficie corporal; </w:t>
      </w:r>
      <w:proofErr w:type="spellStart"/>
      <w:r w:rsidRPr="00D731C9">
        <w:rPr>
          <w:b/>
          <w:color w:val="000000" w:themeColor="text1"/>
          <w:sz w:val="18"/>
        </w:rPr>
        <w:t>Hosp</w:t>
      </w:r>
      <w:proofErr w:type="spellEnd"/>
      <w:r w:rsidRPr="00D731C9">
        <w:rPr>
          <w:b/>
          <w:color w:val="000000" w:themeColor="text1"/>
          <w:sz w:val="18"/>
        </w:rPr>
        <w:t xml:space="preserve">: </w:t>
      </w:r>
      <w:r w:rsidRPr="00D731C9">
        <w:rPr>
          <w:color w:val="000000" w:themeColor="text1"/>
          <w:sz w:val="18"/>
        </w:rPr>
        <w:t xml:space="preserve">hospitalización; </w:t>
      </w:r>
      <w:r w:rsidRPr="00D731C9">
        <w:rPr>
          <w:b/>
          <w:color w:val="000000" w:themeColor="text1"/>
          <w:sz w:val="18"/>
        </w:rPr>
        <w:t>HR:</w:t>
      </w:r>
      <w:r w:rsidRPr="00D731C9">
        <w:rPr>
          <w:color w:val="000000" w:themeColor="text1"/>
          <w:sz w:val="18"/>
        </w:rPr>
        <w:t xml:space="preserve"> </w:t>
      </w:r>
      <w:proofErr w:type="spellStart"/>
      <w:r w:rsidRPr="00D731C9">
        <w:rPr>
          <w:color w:val="000000" w:themeColor="text1"/>
          <w:sz w:val="18"/>
        </w:rPr>
        <w:t>hazard</w:t>
      </w:r>
      <w:proofErr w:type="spellEnd"/>
      <w:r w:rsidRPr="00D731C9">
        <w:rPr>
          <w:color w:val="000000" w:themeColor="text1"/>
          <w:sz w:val="18"/>
        </w:rPr>
        <w:t xml:space="preserve"> ratio; </w:t>
      </w:r>
      <w:r w:rsidRPr="00D731C9">
        <w:rPr>
          <w:b/>
          <w:color w:val="000000" w:themeColor="text1"/>
          <w:sz w:val="18"/>
        </w:rPr>
        <w:t>IAM:</w:t>
      </w:r>
      <w:r w:rsidRPr="00D731C9">
        <w:rPr>
          <w:color w:val="000000" w:themeColor="text1"/>
          <w:sz w:val="18"/>
        </w:rPr>
        <w:t xml:space="preserve"> infarto agudo de miocardio; </w:t>
      </w:r>
      <w:r w:rsidRPr="00D731C9">
        <w:rPr>
          <w:b/>
          <w:color w:val="000000" w:themeColor="text1"/>
          <w:sz w:val="18"/>
        </w:rPr>
        <w:t>IC:</w:t>
      </w:r>
      <w:r w:rsidRPr="00D731C9">
        <w:rPr>
          <w:color w:val="000000" w:themeColor="text1"/>
          <w:sz w:val="18"/>
        </w:rPr>
        <w:t xml:space="preserve"> intervalo de confianza;</w:t>
      </w:r>
      <w:r w:rsidRPr="00D731C9">
        <w:rPr>
          <w:b/>
          <w:color w:val="000000" w:themeColor="text1"/>
          <w:sz w:val="18"/>
        </w:rPr>
        <w:t xml:space="preserve"> Mort: </w:t>
      </w:r>
      <w:r w:rsidRPr="00D731C9">
        <w:rPr>
          <w:color w:val="000000" w:themeColor="text1"/>
          <w:sz w:val="18"/>
        </w:rPr>
        <w:t xml:space="preserve">mortalidad por todas las causas; </w:t>
      </w:r>
      <w:r w:rsidRPr="00D731C9">
        <w:rPr>
          <w:b/>
          <w:color w:val="000000" w:themeColor="text1"/>
          <w:sz w:val="18"/>
        </w:rPr>
        <w:t>Mort CV:</w:t>
      </w:r>
      <w:r w:rsidRPr="00D731C9">
        <w:rPr>
          <w:color w:val="000000" w:themeColor="text1"/>
          <w:sz w:val="18"/>
        </w:rPr>
        <w:t xml:space="preserve"> mortalidad por causa cardiovascular; </w:t>
      </w:r>
      <w:r w:rsidRPr="00D731C9">
        <w:rPr>
          <w:b/>
          <w:color w:val="000000" w:themeColor="text1"/>
          <w:sz w:val="18"/>
        </w:rPr>
        <w:t xml:space="preserve">NNT: </w:t>
      </w:r>
      <w:r w:rsidRPr="00D731C9">
        <w:rPr>
          <w:color w:val="000000" w:themeColor="text1"/>
          <w:sz w:val="18"/>
        </w:rPr>
        <w:t xml:space="preserve">número necesario a tratar para proteger a 1 paciente más que sin tratar; </w:t>
      </w:r>
      <w:r w:rsidRPr="00D731C9">
        <w:rPr>
          <w:b/>
          <w:color w:val="000000" w:themeColor="text1"/>
          <w:sz w:val="18"/>
        </w:rPr>
        <w:t>RAR:</w:t>
      </w:r>
      <w:r w:rsidRPr="00D731C9">
        <w:rPr>
          <w:color w:val="000000" w:themeColor="text1"/>
          <w:sz w:val="18"/>
        </w:rPr>
        <w:t xml:space="preserve"> reducción absoluta del riesgo</w:t>
      </w:r>
      <w:r w:rsidR="00365ED3" w:rsidRPr="00D731C9">
        <w:rPr>
          <w:color w:val="000000" w:themeColor="text1"/>
          <w:sz w:val="18"/>
        </w:rPr>
        <w:t>;</w:t>
      </w:r>
      <w:r w:rsidR="00365ED3" w:rsidRPr="00D731C9">
        <w:rPr>
          <w:b/>
          <w:color w:val="000000" w:themeColor="text1"/>
        </w:rPr>
        <w:t xml:space="preserve"> </w:t>
      </w:r>
      <w:r w:rsidR="00365ED3" w:rsidRPr="00D731C9">
        <w:rPr>
          <w:b/>
          <w:color w:val="000000" w:themeColor="text1"/>
          <w:sz w:val="18"/>
        </w:rPr>
        <w:t xml:space="preserve">RR: </w:t>
      </w:r>
      <w:r w:rsidR="00365ED3" w:rsidRPr="00D731C9">
        <w:rPr>
          <w:color w:val="000000" w:themeColor="text1"/>
          <w:sz w:val="18"/>
        </w:rPr>
        <w:t>riesgo relativo (obtenido por incidencias acumuladas)</w:t>
      </w:r>
      <w:r w:rsidR="00BB1FDD" w:rsidRPr="00D731C9">
        <w:rPr>
          <w:color w:val="000000" w:themeColor="text1"/>
          <w:sz w:val="18"/>
        </w:rPr>
        <w:t>;</w:t>
      </w:r>
      <w:r w:rsidR="00BB1FDD" w:rsidRPr="00D731C9">
        <w:rPr>
          <w:b/>
          <w:color w:val="000000" w:themeColor="text1"/>
          <w:sz w:val="18"/>
          <w:szCs w:val="18"/>
        </w:rPr>
        <w:t xml:space="preserve"> </w:t>
      </w:r>
      <w:r w:rsidR="00BB1FDD" w:rsidRPr="00D731C9">
        <w:rPr>
          <w:b/>
          <w:color w:val="000000" w:themeColor="text1"/>
          <w:sz w:val="18"/>
        </w:rPr>
        <w:t xml:space="preserve">SGLT2: </w:t>
      </w:r>
      <w:r w:rsidR="00BB1FDD" w:rsidRPr="00D731C9">
        <w:rPr>
          <w:color w:val="000000" w:themeColor="text1"/>
          <w:sz w:val="18"/>
        </w:rPr>
        <w:t xml:space="preserve">receptor del cotransportador de sodio-glucosa tipo 2; </w:t>
      </w:r>
      <w:r w:rsidR="00BB1FDD" w:rsidRPr="00D731C9">
        <w:rPr>
          <w:b/>
          <w:color w:val="000000" w:themeColor="text1"/>
          <w:sz w:val="18"/>
        </w:rPr>
        <w:t>tSLEv:</w:t>
      </w:r>
      <w:r w:rsidR="00BB1FDD" w:rsidRPr="00D731C9">
        <w:rPr>
          <w:color w:val="000000" w:themeColor="text1"/>
          <w:sz w:val="18"/>
        </w:rPr>
        <w:t xml:space="preserve"> tiempo medio de supervivencia libre de evento</w:t>
      </w:r>
      <w:r w:rsidR="00C861C8">
        <w:rPr>
          <w:color w:val="000000" w:themeColor="text1"/>
          <w:sz w:val="18"/>
        </w:rPr>
        <w:t xml:space="preserve"> que se está midiendo</w:t>
      </w:r>
      <w:r w:rsidR="00BB1FDD" w:rsidRPr="00D731C9">
        <w:rPr>
          <w:color w:val="000000" w:themeColor="text1"/>
          <w:sz w:val="18"/>
        </w:rPr>
        <w:t xml:space="preserve">; </w:t>
      </w:r>
      <w:r w:rsidR="00BB1FDD" w:rsidRPr="00D731C9">
        <w:rPr>
          <w:b/>
          <w:color w:val="000000" w:themeColor="text1"/>
          <w:sz w:val="18"/>
        </w:rPr>
        <w:t>PtSLEv:</w:t>
      </w:r>
      <w:r w:rsidR="00BB1FDD" w:rsidRPr="00D731C9">
        <w:rPr>
          <w:color w:val="000000" w:themeColor="text1"/>
          <w:sz w:val="18"/>
        </w:rPr>
        <w:t xml:space="preserve"> prolongación del tiempo medio de supervivencia libre de</w:t>
      </w:r>
      <w:r w:rsidR="00C861C8">
        <w:rPr>
          <w:color w:val="000000" w:themeColor="text1"/>
          <w:sz w:val="18"/>
        </w:rPr>
        <w:t>l</w:t>
      </w:r>
      <w:r w:rsidR="00BB1FDD" w:rsidRPr="00D731C9">
        <w:rPr>
          <w:color w:val="000000" w:themeColor="text1"/>
          <w:sz w:val="18"/>
        </w:rPr>
        <w:t xml:space="preserve"> evento. </w:t>
      </w:r>
    </w:p>
    <w:p w14:paraId="1022BB63" w14:textId="77777777" w:rsidR="005F6792" w:rsidRPr="00D731C9" w:rsidRDefault="005F6792" w:rsidP="005F6792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color w:val="000000" w:themeColor="text1"/>
          <w:sz w:val="8"/>
          <w:szCs w:val="8"/>
        </w:rPr>
      </w:pPr>
    </w:p>
    <w:p w14:paraId="1F7B6CFB" w14:textId="3918806A" w:rsidR="005F6792" w:rsidRPr="00D731C9" w:rsidRDefault="005F6792" w:rsidP="005F6792">
      <w:pPr>
        <w:pStyle w:val="Sinespaci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000000" w:themeColor="text1"/>
          <w:sz w:val="18"/>
        </w:rPr>
      </w:pPr>
      <w:r w:rsidRPr="00D731C9">
        <w:rPr>
          <w:b/>
          <w:color w:val="000000" w:themeColor="text1"/>
          <w:sz w:val="18"/>
        </w:rPr>
        <w:t xml:space="preserve">NOTA: </w:t>
      </w:r>
      <w:r w:rsidRPr="00D731C9">
        <w:rPr>
          <w:color w:val="000000" w:themeColor="text1"/>
          <w:sz w:val="18"/>
        </w:rPr>
        <w:t xml:space="preserve">Todos los intervalos de confianza (IC) que mostramos entre paréntesis están calculados para un nivel de confianza del 95%. Por ejemplo, si expresamos HR </w:t>
      </w:r>
      <w:r w:rsidR="00BB1FDD" w:rsidRPr="00D731C9">
        <w:rPr>
          <w:color w:val="000000" w:themeColor="text1"/>
          <w:sz w:val="18"/>
        </w:rPr>
        <w:t>0,70 (0,59-0,82)</w:t>
      </w:r>
      <w:r w:rsidRPr="00D731C9">
        <w:rPr>
          <w:color w:val="000000" w:themeColor="text1"/>
          <w:sz w:val="18"/>
        </w:rPr>
        <w:t>, quiere decir HR 0,</w:t>
      </w:r>
      <w:r w:rsidR="00BB1FDD" w:rsidRPr="00D731C9">
        <w:rPr>
          <w:color w:val="000000" w:themeColor="text1"/>
          <w:sz w:val="18"/>
        </w:rPr>
        <w:t>70</w:t>
      </w:r>
      <w:r w:rsidRPr="00D731C9">
        <w:rPr>
          <w:color w:val="000000" w:themeColor="text1"/>
          <w:sz w:val="18"/>
        </w:rPr>
        <w:t xml:space="preserve"> (</w:t>
      </w:r>
      <w:r w:rsidRPr="00D731C9">
        <w:rPr>
          <w:b/>
          <w:color w:val="000000" w:themeColor="text1"/>
          <w:sz w:val="18"/>
        </w:rPr>
        <w:t>IC 95%</w:t>
      </w:r>
      <w:r w:rsidRPr="00D731C9">
        <w:rPr>
          <w:color w:val="000000" w:themeColor="text1"/>
          <w:sz w:val="18"/>
        </w:rPr>
        <w:t>, 0,59-0,8</w:t>
      </w:r>
      <w:r w:rsidR="00BB1FDD" w:rsidRPr="00D731C9">
        <w:rPr>
          <w:color w:val="000000" w:themeColor="text1"/>
          <w:sz w:val="18"/>
        </w:rPr>
        <w:t>2</w:t>
      </w:r>
      <w:r w:rsidRPr="00D731C9">
        <w:rPr>
          <w:color w:val="000000" w:themeColor="text1"/>
          <w:sz w:val="18"/>
        </w:rPr>
        <w:t>).</w:t>
      </w:r>
    </w:p>
    <w:p w14:paraId="19CEEE5F" w14:textId="77777777" w:rsidR="005F6792" w:rsidRPr="00A60231" w:rsidRDefault="005F6792" w:rsidP="00950F0F">
      <w:pPr>
        <w:pStyle w:val="Sinespaciado"/>
        <w:jc w:val="both"/>
        <w:rPr>
          <w:rFonts w:cstheme="minorHAnsi"/>
        </w:rPr>
      </w:pPr>
    </w:p>
    <w:p w14:paraId="62173803" w14:textId="3CD4A02A" w:rsidR="000E53DF" w:rsidRDefault="00A60231" w:rsidP="003A15DC">
      <w:pPr>
        <w:pStyle w:val="Sinespaciado"/>
        <w:jc w:val="both"/>
      </w:pPr>
      <w:r w:rsidRPr="00AD0B7D">
        <w:rPr>
          <w:b/>
          <w:bCs/>
          <w:color w:val="0000FF"/>
        </w:rPr>
        <w:t>INTRODUCCIÓN:</w:t>
      </w:r>
      <w:r w:rsidRPr="005518D1">
        <w:rPr>
          <w:bCs/>
        </w:rPr>
        <w:t xml:space="preserve"> </w:t>
      </w:r>
      <w:r w:rsidR="003A15DC" w:rsidRPr="003A15DC">
        <w:t xml:space="preserve">La </w:t>
      </w:r>
      <w:r w:rsidR="003A15DC">
        <w:t>DM2</w:t>
      </w:r>
      <w:r w:rsidR="003A15DC" w:rsidRPr="003A15DC">
        <w:t xml:space="preserve"> es la principal causa de insuficiencia renal en todo el mundo, pero son pocos los tratamientos disponibles que sean efectivos a largo plazo. En </w:t>
      </w:r>
      <w:r w:rsidR="00BA3B03">
        <w:t xml:space="preserve">algunos </w:t>
      </w:r>
      <w:r w:rsidR="003A15DC" w:rsidRPr="003A15DC">
        <w:t>ensayos</w:t>
      </w:r>
      <w:r w:rsidR="00BA3B03">
        <w:t xml:space="preserve"> clínicos</w:t>
      </w:r>
      <w:r w:rsidR="000E53DF">
        <w:t xml:space="preserve"> </w:t>
      </w:r>
      <w:r w:rsidR="000E53DF" w:rsidRPr="00D66A82">
        <w:t>que han evaluado eventos cardiovasculares</w:t>
      </w:r>
      <w:r w:rsidR="000E53DF">
        <w:t xml:space="preserve"> con</w:t>
      </w:r>
      <w:r w:rsidR="00882E95">
        <w:t xml:space="preserve"> inhibidores de</w:t>
      </w:r>
      <w:r w:rsidR="000E53DF">
        <w:t xml:space="preserve"> </w:t>
      </w:r>
      <w:r w:rsidR="00D66A82" w:rsidRPr="00D66A82">
        <w:t>SGTL</w:t>
      </w:r>
      <w:r w:rsidR="000E53DF">
        <w:t>-</w:t>
      </w:r>
      <w:r w:rsidR="00D66A82" w:rsidRPr="00D66A82">
        <w:t>2 (</w:t>
      </w:r>
      <w:r w:rsidR="003A15DC" w:rsidRPr="00D66A82">
        <w:t xml:space="preserve">cotransportador </w:t>
      </w:r>
      <w:r w:rsidR="00D66A82" w:rsidRPr="00D66A82">
        <w:t>de sodio-glucosa tipo 2)</w:t>
      </w:r>
      <w:r w:rsidR="00BA3B03" w:rsidRPr="00D66A82">
        <w:t xml:space="preserve">, se han obtenido también algunos </w:t>
      </w:r>
      <w:r w:rsidR="003A15DC" w:rsidRPr="00D66A82">
        <w:t xml:space="preserve">resultados exploratorios </w:t>
      </w:r>
      <w:r w:rsidR="00BA3B03" w:rsidRPr="00D66A82">
        <w:t xml:space="preserve">que </w:t>
      </w:r>
      <w:r w:rsidR="003A15DC" w:rsidRPr="00D66A82">
        <w:t xml:space="preserve">han sugerido </w:t>
      </w:r>
      <w:r w:rsidR="003A15DC" w:rsidRPr="003A15DC">
        <w:t>que estos medicamentos p</w:t>
      </w:r>
      <w:r w:rsidR="00BA3B03">
        <w:t xml:space="preserve">odrían </w:t>
      </w:r>
      <w:r w:rsidR="003A15DC" w:rsidRPr="003A15DC">
        <w:t xml:space="preserve">mejorar los resultados renales en </w:t>
      </w:r>
      <w:r w:rsidR="003A15DC">
        <w:t>DM2</w:t>
      </w:r>
      <w:r w:rsidR="003A15DC" w:rsidRPr="003A15DC">
        <w:t xml:space="preserve">. </w:t>
      </w:r>
    </w:p>
    <w:p w14:paraId="12033DDD" w14:textId="1C1A44C7" w:rsidR="00A60231" w:rsidRPr="003A15DC" w:rsidRDefault="003A15DC" w:rsidP="000E53DF">
      <w:pPr>
        <w:pStyle w:val="Sinespaciado"/>
        <w:ind w:firstLine="708"/>
        <w:jc w:val="both"/>
      </w:pPr>
      <w:r w:rsidRPr="003A15DC">
        <w:t xml:space="preserve">El ensayo </w:t>
      </w:r>
      <w:r>
        <w:t>CREDENCE</w:t>
      </w:r>
      <w:r w:rsidRPr="003A15DC">
        <w:t xml:space="preserve"> se ha diseñado </w:t>
      </w:r>
      <w:r>
        <w:t>e implementado para averiguarlo</w:t>
      </w:r>
      <w:r w:rsidR="000E53DF">
        <w:t xml:space="preserve"> en este tipo de pacientes</w:t>
      </w:r>
      <w:r w:rsidR="00CD5E25">
        <w:t>, comparando cana</w:t>
      </w:r>
      <w:r w:rsidR="00D731C9">
        <w:t>gliflo</w:t>
      </w:r>
      <w:r w:rsidR="00CD5E25">
        <w:t>zina frente a placebo</w:t>
      </w:r>
      <w:r>
        <w:t>.</w:t>
      </w:r>
    </w:p>
    <w:p w14:paraId="2168F8F7" w14:textId="77777777" w:rsidR="00A60231" w:rsidRDefault="00A60231" w:rsidP="00A60231">
      <w:pPr>
        <w:pStyle w:val="Sinespaciado"/>
        <w:jc w:val="both"/>
      </w:pPr>
    </w:p>
    <w:p w14:paraId="57B2B668" w14:textId="77777777" w:rsidR="00C20EFF" w:rsidRDefault="00C20EFF" w:rsidP="00C20EFF">
      <w:pPr>
        <w:pStyle w:val="Sinespaciado"/>
        <w:jc w:val="both"/>
      </w:pPr>
      <w:r w:rsidRPr="00AD0B7D">
        <w:rPr>
          <w:b/>
          <w:bCs/>
          <w:color w:val="0000FF"/>
        </w:rPr>
        <w:t xml:space="preserve">OBJETIVO: </w:t>
      </w:r>
      <w:r w:rsidRPr="004A310B">
        <w:rPr>
          <w:shd w:val="clear" w:color="auto" w:fill="D9D9D9" w:themeFill="background1" w:themeFillShade="D9"/>
        </w:rPr>
        <w:t>….</w:t>
      </w:r>
    </w:p>
    <w:p w14:paraId="2246799B" w14:textId="77777777" w:rsidR="00A60231" w:rsidRDefault="00A60231" w:rsidP="00A60231">
      <w:pPr>
        <w:pStyle w:val="Sinespaciado"/>
        <w:jc w:val="both"/>
      </w:pPr>
    </w:p>
    <w:p w14:paraId="30712595" w14:textId="77777777" w:rsidR="005F6792" w:rsidRPr="00752E88" w:rsidRDefault="005F6792" w:rsidP="005F6792">
      <w:pPr>
        <w:pStyle w:val="Sinespaciado"/>
        <w:jc w:val="both"/>
        <w:rPr>
          <w:b/>
          <w:color w:val="993300"/>
        </w:rPr>
      </w:pPr>
      <w:r w:rsidRPr="00AD0B7D">
        <w:rPr>
          <w:b/>
          <w:bCs/>
          <w:color w:val="0000FF"/>
        </w:rPr>
        <w:t xml:space="preserve">MÉTODOS: </w:t>
      </w:r>
      <w:r>
        <w:t xml:space="preserve">Ensayo clínico controlado aleatorizado y multicéntrico. Las variables de beneficios y daños añadidos se muestran </w:t>
      </w:r>
      <w:r w:rsidRPr="00BE0383">
        <w:t xml:space="preserve">en las </w:t>
      </w:r>
      <w:r w:rsidRPr="008F6B55">
        <w:rPr>
          <w:b/>
          <w:color w:val="000000" w:themeColor="text1"/>
        </w:rPr>
        <w:t>tablas nnt-1 y nnt-2</w:t>
      </w:r>
      <w:r w:rsidRPr="008F6B55">
        <w:rPr>
          <w:color w:val="000000" w:themeColor="text1"/>
        </w:rPr>
        <w:t>.</w:t>
      </w:r>
    </w:p>
    <w:p w14:paraId="5C2EF195" w14:textId="0EB488C6" w:rsidR="00AD0B7D" w:rsidRDefault="00AD0B7D" w:rsidP="00A60231">
      <w:pPr>
        <w:pStyle w:val="Sinespaciado"/>
        <w:jc w:val="both"/>
      </w:pPr>
    </w:p>
    <w:p w14:paraId="1259B495" w14:textId="6A2902C5" w:rsidR="005F6792" w:rsidRPr="005F6792" w:rsidRDefault="00A4623B" w:rsidP="005F6792">
      <w:pPr>
        <w:spacing w:after="0" w:line="240" w:lineRule="auto"/>
        <w:jc w:val="both"/>
      </w:pPr>
      <w:r w:rsidRPr="00AD0B7D">
        <w:rPr>
          <w:b/>
          <w:bCs/>
          <w:color w:val="0000FF"/>
        </w:rPr>
        <w:t>RESULTADOS</w:t>
      </w:r>
      <w:r w:rsidRPr="00E54D11">
        <w:rPr>
          <w:rStyle w:val="Refdenotaalpie"/>
          <w:b/>
          <w:bCs/>
          <w:color w:val="FF0066"/>
        </w:rPr>
        <w:footnoteReference w:id="1"/>
      </w:r>
      <w:r w:rsidRPr="00AD0B7D">
        <w:rPr>
          <w:b/>
          <w:bCs/>
          <w:color w:val="0000FF"/>
        </w:rPr>
        <w:t>:</w:t>
      </w:r>
      <w:r>
        <w:rPr>
          <w:b/>
          <w:bCs/>
        </w:rPr>
        <w:t xml:space="preserve"> </w:t>
      </w:r>
      <w:r w:rsidR="005F6792" w:rsidRPr="005F6792">
        <w:t xml:space="preserve">Se evaluaron los </w:t>
      </w:r>
      <w:r w:rsidR="005F6792">
        <w:t>2202</w:t>
      </w:r>
      <w:r w:rsidR="005F6792" w:rsidRPr="005F6792">
        <w:t xml:space="preserve"> asignados a </w:t>
      </w:r>
      <w:r w:rsidR="008B6551">
        <w:t>c</w:t>
      </w:r>
      <w:r w:rsidR="005F6792">
        <w:t>anagl</w:t>
      </w:r>
      <w:r w:rsidR="008F6B55">
        <w:t>i</w:t>
      </w:r>
      <w:r w:rsidR="005F6792" w:rsidRPr="005F6792">
        <w:t>f</w:t>
      </w:r>
      <w:r w:rsidR="008F6B55">
        <w:t>l</w:t>
      </w:r>
      <w:r w:rsidR="005F6792" w:rsidRPr="005F6792">
        <w:t xml:space="preserve">ozina y </w:t>
      </w:r>
      <w:r w:rsidR="005F6792">
        <w:t>2</w:t>
      </w:r>
      <w:r w:rsidR="008B6551">
        <w:t>199</w:t>
      </w:r>
      <w:r w:rsidR="005F6792" w:rsidRPr="005F6792">
        <w:t xml:space="preserve"> asignados a placebo, de edad 69 años </w:t>
      </w:r>
      <w:r w:rsidR="008B6551">
        <w:t>(DE 9)</w:t>
      </w:r>
      <w:r w:rsidR="005F6792" w:rsidRPr="005F6792">
        <w:t xml:space="preserve">, mujeres en un </w:t>
      </w:r>
      <w:r w:rsidR="008B6551">
        <w:t>34</w:t>
      </w:r>
      <w:r w:rsidR="005F6792" w:rsidRPr="005F6792">
        <w:t>%, con DM2, FGe</w:t>
      </w:r>
      <w:r w:rsidR="008B6551">
        <w:t xml:space="preserve"> 56</w:t>
      </w:r>
      <w:r w:rsidR="005F6792" w:rsidRPr="005F6792">
        <w:t xml:space="preserve"> ml/min (</w:t>
      </w:r>
      <w:r w:rsidR="008B6551">
        <w:t>DE 18)</w:t>
      </w:r>
      <w:r w:rsidR="005F6792" w:rsidRPr="005F6792">
        <w:t xml:space="preserve">, enfermedad CV en un </w:t>
      </w:r>
      <w:r w:rsidR="008B6551">
        <w:t>50</w:t>
      </w:r>
      <w:r w:rsidR="005F6792" w:rsidRPr="005F6792">
        <w:t xml:space="preserve">% e insuficiencia cardíaca en un </w:t>
      </w:r>
      <w:r w:rsidR="008B6551">
        <w:t>15</w:t>
      </w:r>
      <w:r w:rsidR="005F6792" w:rsidRPr="005F6792">
        <w:t xml:space="preserve">%. Fueron seguidos durante una media de </w:t>
      </w:r>
      <w:r w:rsidR="008B6551">
        <w:t>30,6</w:t>
      </w:r>
      <w:r w:rsidR="005F6792" w:rsidRPr="005F6792">
        <w:t xml:space="preserve"> meses. </w:t>
      </w:r>
    </w:p>
    <w:p w14:paraId="1B77FEC7" w14:textId="3DC45C93" w:rsidR="008F6B55" w:rsidRPr="00C50FAD" w:rsidRDefault="008F6B55" w:rsidP="008F6B55">
      <w:pPr>
        <w:pStyle w:val="Sinespaciado"/>
        <w:ind w:firstLine="708"/>
        <w:jc w:val="both"/>
        <w:rPr>
          <w:color w:val="000000" w:themeColor="text1"/>
        </w:rPr>
      </w:pPr>
      <w:bookmarkStart w:id="0" w:name="_Hlk118278420"/>
      <w:r w:rsidRPr="008E4714">
        <w:t xml:space="preserve">Los </w:t>
      </w:r>
      <w:r>
        <w:t>8 factores</w:t>
      </w:r>
      <w:r w:rsidRPr="008E4714">
        <w:t xml:space="preserve"> clínicos (covariables) y </w:t>
      </w:r>
      <w:r w:rsidR="000E5C88">
        <w:t>1</w:t>
      </w:r>
      <w:r w:rsidRPr="008E4714">
        <w:t xml:space="preserve"> sociodemográfico que midieron los </w:t>
      </w:r>
      <w:r w:rsidRPr="0072754B">
        <w:rPr>
          <w:color w:val="000000" w:themeColor="text1"/>
        </w:rPr>
        <w:t xml:space="preserve">investigadores en el inicio (ver baseline) estaban equilibrados con este tamaño de muestra, tal </w:t>
      </w:r>
      <w:r w:rsidRPr="00C50FAD">
        <w:rPr>
          <w:color w:val="000000" w:themeColor="text1"/>
        </w:rPr>
        <w:t xml:space="preserve">como mostramos en el </w:t>
      </w:r>
      <w:r w:rsidRPr="00C50FAD">
        <w:rPr>
          <w:b/>
          <w:color w:val="000000" w:themeColor="text1"/>
        </w:rPr>
        <w:t>suplemento 1</w:t>
      </w:r>
      <w:r w:rsidRPr="00C50FAD">
        <w:rPr>
          <w:color w:val="000000" w:themeColor="text1"/>
        </w:rPr>
        <w:t>.</w:t>
      </w:r>
    </w:p>
    <w:bookmarkEnd w:id="0"/>
    <w:p w14:paraId="18C1A5D6" w14:textId="77777777" w:rsidR="001F57F1" w:rsidRPr="00A356E0" w:rsidRDefault="001F57F1" w:rsidP="001F57F1">
      <w:pPr>
        <w:pStyle w:val="Sinespaciado"/>
        <w:ind w:firstLine="708"/>
        <w:jc w:val="both"/>
      </w:pPr>
      <w:r w:rsidRPr="00A356E0">
        <w:t>Dado que la clase de verdad</w:t>
      </w:r>
      <w:r w:rsidRPr="00E54D11">
        <w:rPr>
          <w:rStyle w:val="Refdenotaalpie"/>
          <w:b/>
          <w:bCs/>
          <w:color w:val="FF0000"/>
        </w:rPr>
        <w:footnoteReference w:id="2"/>
      </w:r>
      <w:r w:rsidRPr="00A356E0">
        <w:t xml:space="preserve"> </w:t>
      </w:r>
      <w:r>
        <w:t xml:space="preserve">de cada resultado o evidencia </w:t>
      </w:r>
      <w:r w:rsidRPr="00A356E0">
        <w:t>y su grado de verosimilitud está</w:t>
      </w:r>
      <w:r>
        <w:t>n</w:t>
      </w:r>
      <w:r w:rsidRPr="00A356E0">
        <w:t xml:space="preserve"> condicionados a la validez</w:t>
      </w:r>
      <w:r w:rsidRPr="00EE32C4">
        <w:rPr>
          <w:rStyle w:val="Refdenotaalpie"/>
          <w:b/>
          <w:color w:val="FF0066"/>
        </w:rPr>
        <w:footnoteReference w:id="3"/>
      </w:r>
      <w:r w:rsidRPr="00A356E0">
        <w:t xml:space="preserve"> con la que se ha obtenido, nosotros hemos estimado la validez con la que los investigadores han obtenido sus resultados</w:t>
      </w:r>
      <w:r>
        <w:t xml:space="preserve"> o evidencias, </w:t>
      </w:r>
      <w:r w:rsidRPr="00A356E0">
        <w:t xml:space="preserve">ayudándonos de un test basado en el sistema GRADE, modificado y adaptado por nosotros para ensayos clínicos del tipo que ahora estamos analizando </w:t>
      </w:r>
      <w:r w:rsidRPr="00A356E0">
        <w:rPr>
          <w:b/>
        </w:rPr>
        <w:t>(suplemento 2)</w:t>
      </w:r>
      <w:r w:rsidRPr="00A356E0">
        <w:t>.</w:t>
      </w:r>
    </w:p>
    <w:p w14:paraId="396849E5" w14:textId="70E79C8C" w:rsidR="00A4623B" w:rsidRDefault="00A4623B" w:rsidP="005F6792">
      <w:pPr>
        <w:spacing w:after="0" w:line="240" w:lineRule="auto"/>
        <w:jc w:val="both"/>
      </w:pPr>
      <w:bookmarkStart w:id="1" w:name="_GoBack"/>
      <w:bookmarkEnd w:id="1"/>
    </w:p>
    <w:p w14:paraId="006D9635" w14:textId="77777777" w:rsidR="00A4623B" w:rsidRPr="005F6792" w:rsidRDefault="00A4623B" w:rsidP="005F6792">
      <w:pPr>
        <w:spacing w:after="0" w:line="240" w:lineRule="auto"/>
        <w:jc w:val="both"/>
      </w:pPr>
    </w:p>
    <w:p w14:paraId="5E7928ED" w14:textId="77777777" w:rsidR="008B6551" w:rsidRPr="00F2151B" w:rsidRDefault="008B6551" w:rsidP="008B6551">
      <w:pPr>
        <w:pStyle w:val="Sinespaciado"/>
        <w:jc w:val="both"/>
        <w:rPr>
          <w:b/>
        </w:rPr>
      </w:pPr>
      <w:r>
        <w:rPr>
          <w:b/>
          <w:u w:val="single"/>
        </w:rPr>
        <w:t>Variables de resultados en salud experienciales</w:t>
      </w:r>
      <w:r w:rsidRPr="00330274">
        <w:rPr>
          <w:rStyle w:val="Refdenotaalpie"/>
          <w:b/>
          <w:color w:val="FF0066"/>
        </w:rPr>
        <w:footnoteReference w:id="4"/>
      </w:r>
    </w:p>
    <w:p w14:paraId="6923FE96" w14:textId="77777777" w:rsidR="008B6551" w:rsidRDefault="008B6551" w:rsidP="008B6551">
      <w:pPr>
        <w:pStyle w:val="Sinespaciado"/>
        <w:jc w:val="both"/>
        <w:rPr>
          <w:b/>
          <w:bCs/>
        </w:rPr>
      </w:pPr>
    </w:p>
    <w:p w14:paraId="24EAAF50" w14:textId="5CA5144C" w:rsidR="008B6551" w:rsidRPr="00A60E57" w:rsidRDefault="008B6551" w:rsidP="008B6551">
      <w:pPr>
        <w:pStyle w:val="Sinespaciado"/>
        <w:jc w:val="both"/>
      </w:pPr>
      <w:r>
        <w:rPr>
          <w:b/>
          <w:bCs/>
        </w:rPr>
        <w:t xml:space="preserve">1º </w:t>
      </w:r>
      <w:r w:rsidRPr="00A60E57">
        <w:t xml:space="preserve">No se encontraron diferencias estadísticamente significativas en las variables: </w:t>
      </w:r>
      <w:r w:rsidRPr="00A60E57">
        <w:rPr>
          <w:b/>
          <w:bCs/>
        </w:rPr>
        <w:t>1) M</w:t>
      </w:r>
      <w:r>
        <w:rPr>
          <w:b/>
          <w:bCs/>
        </w:rPr>
        <w:t>ortalidad</w:t>
      </w:r>
      <w:r w:rsidRPr="00A60E57">
        <w:rPr>
          <w:b/>
          <w:bCs/>
        </w:rPr>
        <w:t xml:space="preserve"> por </w:t>
      </w:r>
      <w:r>
        <w:rPr>
          <w:b/>
          <w:bCs/>
        </w:rPr>
        <w:t>cualquier causa</w:t>
      </w:r>
      <w:r w:rsidRPr="00A60E57">
        <w:rPr>
          <w:b/>
          <w:bCs/>
        </w:rPr>
        <w:t>:</w:t>
      </w:r>
      <w:r>
        <w:t xml:space="preserve"> </w:t>
      </w:r>
      <w:bookmarkStart w:id="2" w:name="_Hlk86232806"/>
      <w:proofErr w:type="gramStart"/>
      <w:r w:rsidR="00C20EFF">
        <w:t xml:space="preserve">con </w:t>
      </w:r>
      <w:r w:rsidR="00C20EFF" w:rsidRPr="004A310B">
        <w:rPr>
          <w:b/>
          <w:bCs/>
          <w:color w:val="0000FF"/>
        </w:rPr>
        <w:t xml:space="preserve"> </w:t>
      </w:r>
      <w:r w:rsidR="00C20EFF" w:rsidRPr="004A310B">
        <w:rPr>
          <w:shd w:val="clear" w:color="auto" w:fill="D9D9D9" w:themeFill="background1" w:themeFillShade="D9"/>
        </w:rPr>
        <w:t>…</w:t>
      </w:r>
      <w:proofErr w:type="gramEnd"/>
      <w:r w:rsidR="00C20EFF">
        <w:rPr>
          <w:shd w:val="clear" w:color="auto" w:fill="D9D9D9" w:themeFill="background1" w:themeFillShade="D9"/>
        </w:rPr>
        <w:t xml:space="preserve">  </w:t>
      </w:r>
      <w:r w:rsidR="00C20EFF">
        <w:t xml:space="preserve">en el grupo de canaglifozina vs </w:t>
      </w:r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 w:rsidR="00C20EFF">
        <w:t>en el grupo de placebo</w:t>
      </w:r>
      <w:r>
        <w:t xml:space="preserve">; </w:t>
      </w:r>
      <w:bookmarkEnd w:id="2"/>
      <w:r w:rsidRPr="00A60E57">
        <w:rPr>
          <w:b/>
          <w:bCs/>
        </w:rPr>
        <w:t>2) M</w:t>
      </w:r>
      <w:r>
        <w:rPr>
          <w:b/>
          <w:bCs/>
        </w:rPr>
        <w:t>ortalidad</w:t>
      </w:r>
      <w:r w:rsidRPr="00A60E57">
        <w:rPr>
          <w:b/>
          <w:bCs/>
        </w:rPr>
        <w:t xml:space="preserve"> por causa </w:t>
      </w:r>
      <w:r>
        <w:rPr>
          <w:b/>
          <w:bCs/>
        </w:rPr>
        <w:t>cardiovascular</w:t>
      </w:r>
      <w:r w:rsidRPr="00A60E57">
        <w:rPr>
          <w:b/>
          <w:bCs/>
        </w:rPr>
        <w:t>:</w:t>
      </w:r>
      <w:r>
        <w:t xml:space="preserve"> </w:t>
      </w:r>
      <w:proofErr w:type="gramStart"/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>
        <w:t>;</w:t>
      </w:r>
      <w:proofErr w:type="gramEnd"/>
      <w:r>
        <w:t xml:space="preserve"> </w:t>
      </w:r>
      <w:r w:rsidRPr="004800D7">
        <w:rPr>
          <w:b/>
          <w:bCs/>
        </w:rPr>
        <w:t xml:space="preserve">3) </w:t>
      </w:r>
      <w:r>
        <w:rPr>
          <w:b/>
          <w:bCs/>
        </w:rPr>
        <w:t>Mortalidad por causa renal</w:t>
      </w:r>
      <w:r w:rsidRPr="004800D7">
        <w:rPr>
          <w:b/>
          <w:bCs/>
        </w:rPr>
        <w:t>:</w:t>
      </w:r>
      <w:r>
        <w:t xml:space="preserve"> </w:t>
      </w:r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>
        <w:t xml:space="preserve">. </w:t>
      </w:r>
      <w:r w:rsidR="00BE3C14" w:rsidRPr="008D6869">
        <w:t xml:space="preserve">La validez </w:t>
      </w:r>
      <w:r w:rsidR="00BE3C14">
        <w:t xml:space="preserve">GRADE de estas tres evidencias las graduamos como </w:t>
      </w:r>
      <w:proofErr w:type="gramStart"/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 w:rsidR="00BE3C14">
        <w:t>.</w:t>
      </w:r>
      <w:proofErr w:type="gramEnd"/>
    </w:p>
    <w:p w14:paraId="663331AF" w14:textId="0372FF22" w:rsidR="008B6551" w:rsidRDefault="008B6551" w:rsidP="00A60231">
      <w:pPr>
        <w:pStyle w:val="Sinespaciado"/>
        <w:jc w:val="both"/>
      </w:pPr>
    </w:p>
    <w:p w14:paraId="6FFF5BF2" w14:textId="62587F62" w:rsidR="008D6869" w:rsidRPr="008D6869" w:rsidRDefault="008D6869" w:rsidP="008D6869">
      <w:pPr>
        <w:spacing w:after="0" w:line="240" w:lineRule="auto"/>
        <w:jc w:val="both"/>
      </w:pPr>
      <w:r w:rsidRPr="008D6869">
        <w:rPr>
          <w:b/>
          <w:bCs/>
        </w:rPr>
        <w:t>2º</w:t>
      </w:r>
      <w:r w:rsidRPr="008D6869">
        <w:t xml:space="preserve"> Se encontraron diferencias estadísticamente significativas a favor de </w:t>
      </w:r>
      <w:r>
        <w:t>cana</w:t>
      </w:r>
      <w:r w:rsidR="00D731C9">
        <w:t>gliflo</w:t>
      </w:r>
      <w:r w:rsidRPr="008D6869">
        <w:t>zina frente a placebo en la incidencia de:</w:t>
      </w:r>
    </w:p>
    <w:p w14:paraId="3277463B" w14:textId="77777777" w:rsidR="008D6869" w:rsidRPr="008D6869" w:rsidRDefault="008D6869" w:rsidP="008D6869">
      <w:pPr>
        <w:spacing w:after="0" w:line="240" w:lineRule="auto"/>
        <w:jc w:val="both"/>
        <w:rPr>
          <w:sz w:val="10"/>
          <w:szCs w:val="10"/>
        </w:rPr>
      </w:pPr>
    </w:p>
    <w:p w14:paraId="4F6B7FD2" w14:textId="3ACFC1D6" w:rsidR="00214CA5" w:rsidRPr="00214CA5" w:rsidRDefault="008D6869" w:rsidP="00214CA5">
      <w:pPr>
        <w:spacing w:after="0" w:line="240" w:lineRule="auto"/>
        <w:ind w:firstLine="708"/>
        <w:jc w:val="both"/>
      </w:pPr>
      <w:r>
        <w:rPr>
          <w:b/>
        </w:rPr>
        <w:t xml:space="preserve">1. </w:t>
      </w:r>
      <w:r w:rsidRPr="008D6869">
        <w:rPr>
          <w:b/>
        </w:rPr>
        <w:t>Hospitalización por Insuficiencia cardíaca</w:t>
      </w:r>
      <w:r w:rsidRPr="008D6869">
        <w:rPr>
          <w:b/>
          <w:color w:val="7F7F7F" w:themeColor="text1" w:themeTint="80"/>
        </w:rPr>
        <w:t>:</w:t>
      </w:r>
      <w:r w:rsidRPr="008D6869">
        <w:t xml:space="preserve"> </w:t>
      </w:r>
      <w:r w:rsidR="00214CA5" w:rsidRPr="008D6869">
        <w:t xml:space="preserve">Hubo un 4% de eventos con </w:t>
      </w:r>
      <w:r w:rsidR="00214CA5">
        <w:t>canagliflo</w:t>
      </w:r>
      <w:r w:rsidR="00214CA5" w:rsidRPr="008D6869">
        <w:t>zina frente a un 6,</w:t>
      </w:r>
      <w:r w:rsidR="00214CA5">
        <w:t>4</w:t>
      </w:r>
      <w:r w:rsidR="00214CA5" w:rsidRPr="008D6869">
        <w:t>% con placebo; RR 0,63 (0,49-0,82)</w:t>
      </w:r>
      <w:r w:rsidR="00214CA5">
        <w:t xml:space="preserve">; RAR </w:t>
      </w:r>
      <w:r w:rsidR="00214CA5" w:rsidRPr="008D6869">
        <w:t>2,36% (1,03% a 3,67%)</w:t>
      </w:r>
      <w:r w:rsidR="00214CA5">
        <w:t xml:space="preserve">; </w:t>
      </w:r>
      <w:r w:rsidR="00214CA5" w:rsidRPr="008D6869">
        <w:rPr>
          <w:color w:val="008000"/>
          <w:shd w:val="clear" w:color="auto" w:fill="FFFF99"/>
        </w:rPr>
        <w:t>NNT 42 (27 a 97</w:t>
      </w:r>
      <w:r w:rsidR="00214CA5">
        <w:rPr>
          <w:color w:val="008000"/>
          <w:shd w:val="clear" w:color="auto" w:fill="FFFF99"/>
        </w:rPr>
        <w:t xml:space="preserve">) </w:t>
      </w:r>
      <w:r w:rsidR="00214CA5" w:rsidRPr="008D6869">
        <w:rPr>
          <w:color w:val="008000"/>
          <w:shd w:val="clear" w:color="auto" w:fill="FFFF99"/>
        </w:rPr>
        <w:t xml:space="preserve">en </w:t>
      </w:r>
      <w:r w:rsidR="00214CA5">
        <w:rPr>
          <w:color w:val="008000"/>
          <w:shd w:val="clear" w:color="auto" w:fill="FFFF99"/>
        </w:rPr>
        <w:t>30 meses</w:t>
      </w:r>
      <w:r w:rsidR="00214CA5" w:rsidRPr="008D6869">
        <w:t xml:space="preserve">. </w:t>
      </w:r>
      <w:r w:rsidR="00214CA5" w:rsidRPr="00214CA5">
        <w:t>Los 3 destinos de este NNT = 4</w:t>
      </w:r>
      <w:r w:rsidR="00214CA5">
        <w:t>2</w:t>
      </w:r>
      <w:r w:rsidR="00214CA5" w:rsidRPr="00214CA5">
        <w:t xml:space="preserve"> se distribuyeron así: </w:t>
      </w:r>
      <w:r w:rsidR="00214CA5" w:rsidRPr="00214CA5">
        <w:rPr>
          <w:b/>
        </w:rPr>
        <w:t xml:space="preserve">a) </w:t>
      </w:r>
      <w:r w:rsidR="00214CA5">
        <w:t>39</w:t>
      </w:r>
      <w:r w:rsidR="00214CA5" w:rsidRPr="00214CA5">
        <w:t xml:space="preserve"> libres del evento en ambos grupos; </w:t>
      </w:r>
      <w:r w:rsidR="00214CA5" w:rsidRPr="00214CA5">
        <w:rPr>
          <w:b/>
        </w:rPr>
        <w:t>b)</w:t>
      </w:r>
      <w:r w:rsidR="00214CA5" w:rsidRPr="00214CA5">
        <w:t xml:space="preserve"> 2 con el evento en ambos grupos; y </w:t>
      </w:r>
      <w:r w:rsidR="00214CA5" w:rsidRPr="00214CA5">
        <w:rPr>
          <w:b/>
        </w:rPr>
        <w:t>c)</w:t>
      </w:r>
      <w:r w:rsidR="00214CA5" w:rsidRPr="00214CA5">
        <w:t xml:space="preserve"> 1 libre del evento en el grupo de intervención y con el evento en el grupo de control.</w:t>
      </w:r>
    </w:p>
    <w:p w14:paraId="6A1383BD" w14:textId="778AFB94" w:rsidR="00214CA5" w:rsidRPr="00214CA5" w:rsidRDefault="00214CA5" w:rsidP="00214CA5">
      <w:pPr>
        <w:spacing w:after="0" w:line="240" w:lineRule="auto"/>
        <w:ind w:firstLine="708"/>
        <w:jc w:val="both"/>
      </w:pPr>
      <w:r w:rsidRPr="00214CA5">
        <w:t xml:space="preserve">Comparando las áreas bajo las curvas de la estimación puntual de una función de riesgo, si la asumimos como función lineal en el tiempo, hallamos los </w:t>
      </w:r>
      <w:r>
        <w:t>913</w:t>
      </w:r>
      <w:r w:rsidRPr="00214CA5">
        <w:t xml:space="preserve"> días (</w:t>
      </w:r>
      <w:r>
        <w:t>30</w:t>
      </w:r>
      <w:r w:rsidRPr="00214CA5">
        <w:t xml:space="preserve"> meses) distribuidos en 3 tiempos biográficos: </w:t>
      </w:r>
      <w:r w:rsidRPr="00214CA5">
        <w:rPr>
          <w:b/>
        </w:rPr>
        <w:t xml:space="preserve">a) </w:t>
      </w:r>
      <w:r>
        <w:t>873</w:t>
      </w:r>
      <w:r w:rsidRPr="00214CA5">
        <w:t xml:space="preserve"> días de </w:t>
      </w:r>
      <w:r w:rsidRPr="00214CA5">
        <w:rPr>
          <w:i/>
        </w:rPr>
        <w:t>tiempo medio de Supervivencia Libre de Evento (tSLEv)</w:t>
      </w:r>
      <w:r w:rsidRPr="00214CA5">
        <w:t xml:space="preserve"> en ambos grupos; </w:t>
      </w:r>
      <w:r w:rsidRPr="00214CA5">
        <w:rPr>
          <w:b/>
        </w:rPr>
        <w:t>b)</w:t>
      </w:r>
      <w:r w:rsidRPr="00214CA5">
        <w:t xml:space="preserve"> 2</w:t>
      </w:r>
      <w:r>
        <w:t>9</w:t>
      </w:r>
      <w:r w:rsidRPr="00214CA5">
        <w:t xml:space="preserve"> días de </w:t>
      </w:r>
      <w:r w:rsidRPr="00214CA5">
        <w:rPr>
          <w:i/>
        </w:rPr>
        <w:t>tiempo medio con el Evento, y por tanto sin éxito</w:t>
      </w:r>
      <w:r w:rsidRPr="00214CA5">
        <w:t xml:space="preserve"> en ambos grupos; y </w:t>
      </w:r>
      <w:r w:rsidRPr="00214CA5">
        <w:rPr>
          <w:b/>
        </w:rPr>
        <w:t>c)</w:t>
      </w:r>
      <w:r w:rsidRPr="00214CA5">
        <w:t xml:space="preserve"> </w:t>
      </w:r>
      <w:r>
        <w:rPr>
          <w:color w:val="008000"/>
          <w:shd w:val="clear" w:color="auto" w:fill="FFFF99"/>
        </w:rPr>
        <w:t>11</w:t>
      </w:r>
      <w:r w:rsidRPr="00214CA5">
        <w:rPr>
          <w:color w:val="008000"/>
          <w:shd w:val="clear" w:color="auto" w:fill="FFFF99"/>
        </w:rPr>
        <w:t xml:space="preserve"> días de </w:t>
      </w:r>
      <w:r w:rsidRPr="00214CA5">
        <w:rPr>
          <w:i/>
          <w:color w:val="008000"/>
          <w:shd w:val="clear" w:color="auto" w:fill="FFFF99"/>
        </w:rPr>
        <w:t>Prolongación del tiempo medio de Supervivencia Libre de Evento (PtSLEv)</w:t>
      </w:r>
      <w:r w:rsidRPr="00214CA5">
        <w:rPr>
          <w:color w:val="008000"/>
        </w:rPr>
        <w:t xml:space="preserve"> </w:t>
      </w:r>
      <w:r w:rsidRPr="00214CA5">
        <w:t>gracias a la intervención (</w:t>
      </w:r>
      <w:r w:rsidRPr="00214CA5">
        <w:rPr>
          <w:b/>
        </w:rPr>
        <w:t>tabla nnt-1</w:t>
      </w:r>
      <w:r w:rsidRPr="00214CA5">
        <w:t>).</w:t>
      </w:r>
    </w:p>
    <w:p w14:paraId="09B1CB72" w14:textId="1E15EBA2" w:rsidR="00214CA5" w:rsidRPr="00214CA5" w:rsidRDefault="00214CA5" w:rsidP="00214CA5">
      <w:pPr>
        <w:spacing w:after="0" w:line="240" w:lineRule="auto"/>
        <w:ind w:firstLine="708"/>
        <w:jc w:val="both"/>
      </w:pPr>
      <w:r w:rsidRPr="00214CA5">
        <w:t xml:space="preserve">Al distribuir estos 3 tiempos biográficos sobre los tres destinos del NNT = </w:t>
      </w:r>
      <w:r>
        <w:t>42</w:t>
      </w:r>
      <w:r w:rsidRPr="00214CA5">
        <w:t>, encontramos que, de cada 4</w:t>
      </w:r>
      <w:r>
        <w:t>2</w:t>
      </w:r>
      <w:r w:rsidRPr="00214CA5">
        <w:t xml:space="preserve"> pacientes tratados: </w:t>
      </w:r>
      <w:r w:rsidRPr="00214CA5">
        <w:rPr>
          <w:b/>
        </w:rPr>
        <w:t>a)</w:t>
      </w:r>
      <w:r w:rsidRPr="00214CA5">
        <w:t xml:space="preserve"> </w:t>
      </w:r>
      <w:r>
        <w:t>39</w:t>
      </w:r>
      <w:r w:rsidRPr="00214CA5">
        <w:t xml:space="preserve"> no tendrán el evento durante los </w:t>
      </w:r>
      <w:r>
        <w:t>30</w:t>
      </w:r>
      <w:r w:rsidRPr="00214CA5">
        <w:t xml:space="preserve"> meses en ambos grupos; </w:t>
      </w:r>
      <w:r w:rsidRPr="00214CA5">
        <w:rPr>
          <w:b/>
        </w:rPr>
        <w:t>b)</w:t>
      </w:r>
      <w:r w:rsidRPr="00214CA5">
        <w:t xml:space="preserve"> 2 tendrán el evento tras </w:t>
      </w:r>
      <w:r>
        <w:t>10</w:t>
      </w:r>
      <w:r w:rsidRPr="00214CA5">
        <w:t xml:space="preserve"> meses en ambos grupos; y </w:t>
      </w:r>
      <w:r w:rsidRPr="00214CA5">
        <w:rPr>
          <w:b/>
        </w:rPr>
        <w:t>c)</w:t>
      </w:r>
      <w:r w:rsidRPr="00214CA5">
        <w:t xml:space="preserve"> 1 evitará el evento durante los </w:t>
      </w:r>
      <w:r>
        <w:t>30</w:t>
      </w:r>
      <w:r w:rsidRPr="00214CA5">
        <w:t xml:space="preserve"> meses en el grupo de intervención, mientras que ese 1 sufrirá el evento tras 1</w:t>
      </w:r>
      <w:r>
        <w:t>5</w:t>
      </w:r>
      <w:r w:rsidRPr="00214CA5">
        <w:t xml:space="preserve"> meses en el grupo de control (</w:t>
      </w:r>
      <w:r w:rsidRPr="00214CA5">
        <w:rPr>
          <w:b/>
        </w:rPr>
        <w:t>gráfico g-1.1</w:t>
      </w:r>
      <w:r w:rsidRPr="00214CA5">
        <w:t>).</w:t>
      </w:r>
    </w:p>
    <w:p w14:paraId="035A4010" w14:textId="11048D0A" w:rsidR="00214CA5" w:rsidRDefault="00214CA5" w:rsidP="00214CA5">
      <w:pPr>
        <w:pStyle w:val="Sinespaciado"/>
        <w:ind w:firstLine="708"/>
        <w:jc w:val="both"/>
      </w:pPr>
      <w:r w:rsidRPr="00214CA5">
        <w:t>La validez de la evidencia del resultado de esta variable la hemos estimado MODERADA</w:t>
      </w:r>
    </w:p>
    <w:p w14:paraId="4A81EC35" w14:textId="77777777" w:rsidR="009F0CC9" w:rsidRDefault="009F0CC9" w:rsidP="00A60231">
      <w:pPr>
        <w:pStyle w:val="Sinespaciado"/>
        <w:jc w:val="both"/>
      </w:pPr>
    </w:p>
    <w:p w14:paraId="770ECB86" w14:textId="1612E22D" w:rsidR="00214CA5" w:rsidRDefault="00034114" w:rsidP="00C20EFF">
      <w:pPr>
        <w:spacing w:after="0" w:line="240" w:lineRule="auto"/>
        <w:ind w:firstLine="708"/>
        <w:jc w:val="both"/>
      </w:pPr>
      <w:r>
        <w:rPr>
          <w:b/>
        </w:rPr>
        <w:t xml:space="preserve">2. </w:t>
      </w:r>
      <w:r w:rsidR="008F6B55">
        <w:rPr>
          <w:b/>
        </w:rPr>
        <w:t xml:space="preserve">Declinación de </w:t>
      </w:r>
      <w:r>
        <w:rPr>
          <w:b/>
        </w:rPr>
        <w:t xml:space="preserve">FGe </w:t>
      </w:r>
      <w:r w:rsidR="008F6B55">
        <w:rPr>
          <w:b/>
        </w:rPr>
        <w:t xml:space="preserve">hasta </w:t>
      </w:r>
      <w:r w:rsidRPr="00034114">
        <w:rPr>
          <w:b/>
        </w:rPr>
        <w:t>&lt;</w:t>
      </w:r>
      <w:r w:rsidR="00882E95">
        <w:rPr>
          <w:b/>
        </w:rPr>
        <w:t xml:space="preserve"> </w:t>
      </w:r>
      <w:r w:rsidRPr="00034114">
        <w:rPr>
          <w:b/>
        </w:rPr>
        <w:t>15 ml/min</w:t>
      </w:r>
      <w:r w:rsidRPr="008D6869">
        <w:rPr>
          <w:b/>
          <w:color w:val="7F7F7F" w:themeColor="text1" w:themeTint="80"/>
        </w:rPr>
        <w:t>:</w:t>
      </w:r>
      <w:r w:rsidRPr="008D6869">
        <w:t xml:space="preserve"> </w:t>
      </w:r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</w:p>
    <w:p w14:paraId="7EA1E4AD" w14:textId="4F4C0848" w:rsidR="00034114" w:rsidRPr="008D6869" w:rsidRDefault="00034114" w:rsidP="00214CA5">
      <w:pPr>
        <w:spacing w:after="0" w:line="240" w:lineRule="auto"/>
        <w:ind w:firstLine="708"/>
        <w:jc w:val="both"/>
      </w:pPr>
    </w:p>
    <w:p w14:paraId="21B29BA0" w14:textId="77777777" w:rsidR="00A4623B" w:rsidRDefault="00A4623B" w:rsidP="008B6551">
      <w:pPr>
        <w:spacing w:after="0" w:line="240" w:lineRule="auto"/>
        <w:jc w:val="both"/>
        <w:rPr>
          <w:b/>
          <w:u w:val="single"/>
        </w:rPr>
      </w:pPr>
    </w:p>
    <w:p w14:paraId="1BD85CD3" w14:textId="4EB686A5" w:rsidR="008B6551" w:rsidRPr="008B6551" w:rsidRDefault="008B6551" w:rsidP="008B6551">
      <w:pPr>
        <w:spacing w:after="0" w:line="240" w:lineRule="auto"/>
        <w:jc w:val="both"/>
        <w:rPr>
          <w:b/>
          <w:u w:val="single"/>
        </w:rPr>
      </w:pPr>
      <w:r w:rsidRPr="008B6551">
        <w:rPr>
          <w:b/>
          <w:u w:val="single"/>
        </w:rPr>
        <w:t>Variables de resultados en salud NO experienciales</w:t>
      </w:r>
    </w:p>
    <w:p w14:paraId="566DBFB3" w14:textId="77777777" w:rsidR="008B6551" w:rsidRPr="008B6551" w:rsidRDefault="008B6551" w:rsidP="008B6551">
      <w:pPr>
        <w:spacing w:after="0" w:line="240" w:lineRule="auto"/>
        <w:jc w:val="both"/>
        <w:rPr>
          <w:b/>
          <w:u w:val="single"/>
        </w:rPr>
      </w:pPr>
    </w:p>
    <w:p w14:paraId="4B6026F2" w14:textId="08F4950C" w:rsidR="008B6551" w:rsidRPr="008B6551" w:rsidRDefault="008B6551" w:rsidP="008B6551">
      <w:pPr>
        <w:spacing w:after="0" w:line="240" w:lineRule="auto"/>
        <w:jc w:val="both"/>
        <w:rPr>
          <w:bCs/>
        </w:rPr>
      </w:pPr>
      <w:r w:rsidRPr="008B6551">
        <w:rPr>
          <w:b/>
          <w:bCs/>
        </w:rPr>
        <w:t xml:space="preserve">1º </w:t>
      </w:r>
      <w:r w:rsidRPr="008B6551">
        <w:t>No se encontraron diferencias estadísticamente significativas en la variable:</w:t>
      </w:r>
      <w:r w:rsidRPr="008B6551">
        <w:rPr>
          <w:bCs/>
        </w:rPr>
        <w:t xml:space="preserve"> </w:t>
      </w:r>
      <w:r w:rsidRPr="008B6551">
        <w:rPr>
          <w:b/>
        </w:rPr>
        <w:t>“</w:t>
      </w:r>
      <w:r w:rsidRPr="00214CA5">
        <w:t>1</w:t>
      </w:r>
      <w:r w:rsidRPr="00214CA5">
        <w:rPr>
          <w:vertAlign w:val="superscript"/>
        </w:rPr>
        <w:t xml:space="preserve">er </w:t>
      </w:r>
      <w:r w:rsidRPr="00214CA5">
        <w:t>evento de</w:t>
      </w:r>
      <w:r w:rsidRPr="008B6551">
        <w:rPr>
          <w:b/>
        </w:rPr>
        <w:t xml:space="preserve"> [Diálisis o Trasplante renal]”:</w:t>
      </w:r>
      <w:r w:rsidR="00CD5E25">
        <w:rPr>
          <w:bCs/>
        </w:rPr>
        <w:t xml:space="preserve"> </w:t>
      </w:r>
      <w:r w:rsidRPr="008B6551">
        <w:rPr>
          <w:bCs/>
        </w:rPr>
        <w:t xml:space="preserve">con </w:t>
      </w:r>
      <w:r>
        <w:rPr>
          <w:bCs/>
        </w:rPr>
        <w:t>3,4</w:t>
      </w:r>
      <w:r w:rsidRPr="008B6551">
        <w:rPr>
          <w:bCs/>
        </w:rPr>
        <w:t xml:space="preserve">% </w:t>
      </w:r>
      <w:r w:rsidR="008D6869">
        <w:rPr>
          <w:bCs/>
        </w:rPr>
        <w:t xml:space="preserve">primeros eventos </w:t>
      </w:r>
      <w:r w:rsidRPr="008B6551">
        <w:rPr>
          <w:bCs/>
        </w:rPr>
        <w:t xml:space="preserve">en el grupo de </w:t>
      </w:r>
      <w:r>
        <w:rPr>
          <w:bCs/>
        </w:rPr>
        <w:t>cana</w:t>
      </w:r>
      <w:r w:rsidR="00D731C9">
        <w:rPr>
          <w:bCs/>
        </w:rPr>
        <w:t>gliflo</w:t>
      </w:r>
      <w:r>
        <w:rPr>
          <w:bCs/>
        </w:rPr>
        <w:t>zina</w:t>
      </w:r>
      <w:r w:rsidRPr="008B6551">
        <w:rPr>
          <w:bCs/>
        </w:rPr>
        <w:t xml:space="preserve"> vs </w:t>
      </w:r>
      <w:r>
        <w:rPr>
          <w:bCs/>
        </w:rPr>
        <w:t>4,5</w:t>
      </w:r>
      <w:r w:rsidRPr="008B6551">
        <w:rPr>
          <w:bCs/>
        </w:rPr>
        <w:t>% en el grupo de placebo.</w:t>
      </w:r>
    </w:p>
    <w:p w14:paraId="42C2E17D" w14:textId="77777777" w:rsidR="008B6551" w:rsidRPr="008B6551" w:rsidRDefault="008B6551" w:rsidP="008B6551">
      <w:pPr>
        <w:spacing w:after="0" w:line="240" w:lineRule="auto"/>
        <w:jc w:val="both"/>
        <w:rPr>
          <w:bCs/>
        </w:rPr>
      </w:pPr>
    </w:p>
    <w:p w14:paraId="49514E81" w14:textId="5BA57FCB" w:rsidR="008B6551" w:rsidRPr="008B6551" w:rsidRDefault="008B6551" w:rsidP="008B6551">
      <w:pPr>
        <w:spacing w:after="0" w:line="240" w:lineRule="auto"/>
        <w:jc w:val="both"/>
      </w:pPr>
      <w:r w:rsidRPr="008B6551">
        <w:rPr>
          <w:b/>
          <w:bCs/>
        </w:rPr>
        <w:t>2º</w:t>
      </w:r>
      <w:r w:rsidRPr="008B6551">
        <w:t xml:space="preserve"> Se encontraron diferencias estadísticamente significativas a favor de </w:t>
      </w:r>
      <w:r>
        <w:t>cana</w:t>
      </w:r>
      <w:r w:rsidR="00D731C9">
        <w:t>gliflo</w:t>
      </w:r>
      <w:r>
        <w:t>zina</w:t>
      </w:r>
      <w:r w:rsidRPr="008B6551">
        <w:t xml:space="preserve"> frente a placebo en la incidencia de:</w:t>
      </w:r>
    </w:p>
    <w:p w14:paraId="0D58ED92" w14:textId="279EA1D4" w:rsidR="00F210A2" w:rsidRDefault="00F210A2" w:rsidP="00F210A2">
      <w:pPr>
        <w:spacing w:after="0" w:line="240" w:lineRule="auto"/>
        <w:jc w:val="both"/>
      </w:pPr>
    </w:p>
    <w:p w14:paraId="7B485A85" w14:textId="65D364B9" w:rsidR="00ED3173" w:rsidRPr="00214CA5" w:rsidRDefault="00ED3173" w:rsidP="00ED3173">
      <w:pPr>
        <w:spacing w:after="0" w:line="240" w:lineRule="auto"/>
        <w:ind w:firstLine="708"/>
        <w:jc w:val="both"/>
      </w:pPr>
      <w:r>
        <w:rPr>
          <w:b/>
        </w:rPr>
        <w:t>1</w:t>
      </w:r>
      <w:r w:rsidR="00F210A2" w:rsidRPr="008B6551">
        <w:rPr>
          <w:b/>
        </w:rPr>
        <w:t xml:space="preserve">. </w:t>
      </w:r>
      <w:r w:rsidR="00F210A2" w:rsidRPr="00F210A2">
        <w:rPr>
          <w:b/>
        </w:rPr>
        <w:t xml:space="preserve">Enfermedad renal en etapa terminal = </w:t>
      </w:r>
      <w:r w:rsidR="008D6869">
        <w:rPr>
          <w:b/>
        </w:rPr>
        <w:t>“</w:t>
      </w:r>
      <w:r w:rsidR="00F210A2" w:rsidRPr="00ED3173">
        <w:t>1</w:t>
      </w:r>
      <w:r w:rsidR="00F210A2" w:rsidRPr="00ED3173">
        <w:rPr>
          <w:vertAlign w:val="superscript"/>
        </w:rPr>
        <w:t xml:space="preserve">er </w:t>
      </w:r>
      <w:r w:rsidR="00F210A2" w:rsidRPr="00ED3173">
        <w:t>evento de</w:t>
      </w:r>
      <w:r w:rsidR="00F210A2" w:rsidRPr="00F210A2">
        <w:rPr>
          <w:b/>
        </w:rPr>
        <w:t xml:space="preserve"> [FGe &lt;15 ml/min, Diálisis o Trasplante renal]</w:t>
      </w:r>
      <w:r w:rsidR="008D6869">
        <w:rPr>
          <w:b/>
        </w:rPr>
        <w:t>”</w:t>
      </w:r>
      <w:r w:rsidR="00F210A2">
        <w:rPr>
          <w:b/>
        </w:rPr>
        <w:t xml:space="preserve">: </w:t>
      </w:r>
      <w:r w:rsidR="00F210A2" w:rsidRPr="008B6551">
        <w:t xml:space="preserve">Hubo un </w:t>
      </w:r>
      <w:r w:rsidR="00F210A2">
        <w:t>5,2</w:t>
      </w:r>
      <w:r w:rsidR="00F210A2" w:rsidRPr="008B6551">
        <w:t xml:space="preserve">% de primeros eventos con </w:t>
      </w:r>
      <w:r w:rsidR="00F210A2">
        <w:t>cana</w:t>
      </w:r>
      <w:r w:rsidR="00D731C9">
        <w:t>gliflo</w:t>
      </w:r>
      <w:r w:rsidR="00F210A2">
        <w:t>zina</w:t>
      </w:r>
      <w:r w:rsidR="00F210A2" w:rsidRPr="008B6551">
        <w:t xml:space="preserve"> frente a un </w:t>
      </w:r>
      <w:r w:rsidR="00F210A2">
        <w:t>7,5</w:t>
      </w:r>
      <w:r w:rsidR="00F210A2" w:rsidRPr="008B6551">
        <w:t xml:space="preserve">% con placebo; RR </w:t>
      </w:r>
      <w:r w:rsidR="00F210A2" w:rsidRPr="00F210A2">
        <w:t>0,70 (0,56-0,88)</w:t>
      </w:r>
      <w:r w:rsidR="00F210A2">
        <w:t xml:space="preserve">; RAR </w:t>
      </w:r>
      <w:r w:rsidR="00F210A2" w:rsidRPr="00F210A2">
        <w:t>2,24% (0,78% a 3,68%)</w:t>
      </w:r>
      <w:r w:rsidR="00F210A2">
        <w:t xml:space="preserve">; </w:t>
      </w:r>
      <w:r w:rsidR="00F210A2" w:rsidRPr="00F210A2">
        <w:rPr>
          <w:color w:val="008000"/>
          <w:shd w:val="clear" w:color="auto" w:fill="FFFF99"/>
        </w:rPr>
        <w:t>NNT 45 (27 a 128)</w:t>
      </w:r>
      <w:r w:rsidR="00F210A2" w:rsidRPr="008B6551">
        <w:rPr>
          <w:color w:val="008000"/>
          <w:shd w:val="clear" w:color="auto" w:fill="FFFF99"/>
        </w:rPr>
        <w:t xml:space="preserve"> en </w:t>
      </w:r>
      <w:r w:rsidR="00F210A2">
        <w:rPr>
          <w:color w:val="008000"/>
          <w:shd w:val="clear" w:color="auto" w:fill="FFFF99"/>
        </w:rPr>
        <w:t>30 meses</w:t>
      </w:r>
      <w:r w:rsidR="00F210A2" w:rsidRPr="008B6551">
        <w:t xml:space="preserve">. </w:t>
      </w:r>
      <w:r w:rsidRPr="00214CA5">
        <w:t>Los 3 destinos de este NNT = 4</w:t>
      </w:r>
      <w:r>
        <w:t>5</w:t>
      </w:r>
      <w:r w:rsidRPr="00214CA5">
        <w:t xml:space="preserve"> se distribuyeron así: </w:t>
      </w:r>
      <w:r w:rsidRPr="00214CA5">
        <w:rPr>
          <w:b/>
        </w:rPr>
        <w:t xml:space="preserve">a) </w:t>
      </w:r>
      <w:r>
        <w:t>41</w:t>
      </w:r>
      <w:r w:rsidRPr="00214CA5">
        <w:t xml:space="preserve"> libres del evento en ambos grupos; </w:t>
      </w:r>
      <w:r w:rsidRPr="00214CA5">
        <w:rPr>
          <w:b/>
        </w:rPr>
        <w:t>b)</w:t>
      </w:r>
      <w:r w:rsidRPr="00214CA5">
        <w:t xml:space="preserve"> 2 con el evento en ambos grupos; y </w:t>
      </w:r>
      <w:r w:rsidRPr="00214CA5">
        <w:rPr>
          <w:b/>
        </w:rPr>
        <w:t>c)</w:t>
      </w:r>
      <w:r w:rsidRPr="00214CA5">
        <w:t xml:space="preserve"> 1 libre del evento en el grupo de intervención y con el evento en el grupo de control.</w:t>
      </w:r>
    </w:p>
    <w:p w14:paraId="21C5A624" w14:textId="55724680" w:rsidR="00ED3173" w:rsidRPr="00214CA5" w:rsidRDefault="00ED3173" w:rsidP="00ED3173">
      <w:pPr>
        <w:spacing w:after="0" w:line="240" w:lineRule="auto"/>
        <w:ind w:firstLine="708"/>
        <w:jc w:val="both"/>
      </w:pPr>
      <w:r w:rsidRPr="00214CA5">
        <w:lastRenderedPageBreak/>
        <w:t xml:space="preserve">Comparando las áreas bajo las curvas de la estimación puntual de una función de riesgo, si la asumimos como función lineal en el tiempo, hallamos los </w:t>
      </w:r>
      <w:r>
        <w:t>913</w:t>
      </w:r>
      <w:r w:rsidRPr="00214CA5">
        <w:t xml:space="preserve"> días (</w:t>
      </w:r>
      <w:r>
        <w:t>30</w:t>
      </w:r>
      <w:r w:rsidRPr="00214CA5">
        <w:t xml:space="preserve"> meses) distribuidos en 3 tiempos biográficos: </w:t>
      </w:r>
      <w:r w:rsidRPr="00214CA5">
        <w:rPr>
          <w:b/>
        </w:rPr>
        <w:t xml:space="preserve">a) </w:t>
      </w:r>
      <w:r>
        <w:t>869</w:t>
      </w:r>
      <w:r w:rsidRPr="00214CA5">
        <w:t xml:space="preserve"> días de </w:t>
      </w:r>
      <w:r w:rsidRPr="00214CA5">
        <w:rPr>
          <w:i/>
        </w:rPr>
        <w:t>tiempo medio de Supervivencia Libre de Evento (tSLEv)</w:t>
      </w:r>
      <w:r w:rsidRPr="00214CA5">
        <w:t xml:space="preserve"> en ambos grupos; </w:t>
      </w:r>
      <w:r w:rsidRPr="00214CA5">
        <w:rPr>
          <w:b/>
        </w:rPr>
        <w:t>b)</w:t>
      </w:r>
      <w:r w:rsidRPr="00214CA5">
        <w:t xml:space="preserve"> </w:t>
      </w:r>
      <w:r>
        <w:t>34</w:t>
      </w:r>
      <w:r w:rsidRPr="00214CA5">
        <w:t xml:space="preserve"> días de </w:t>
      </w:r>
      <w:r w:rsidRPr="00214CA5">
        <w:rPr>
          <w:i/>
        </w:rPr>
        <w:t>tiempo medio con el Evento, y por tanto sin éxito</w:t>
      </w:r>
      <w:r w:rsidRPr="00214CA5">
        <w:t xml:space="preserve"> en ambos grupos; y </w:t>
      </w:r>
      <w:r w:rsidRPr="00214CA5">
        <w:rPr>
          <w:b/>
        </w:rPr>
        <w:t>c)</w:t>
      </w:r>
      <w:r w:rsidRPr="00214CA5">
        <w:t xml:space="preserve"> </w:t>
      </w:r>
      <w:r>
        <w:rPr>
          <w:color w:val="008000"/>
          <w:shd w:val="clear" w:color="auto" w:fill="FFFF99"/>
        </w:rPr>
        <w:t>10</w:t>
      </w:r>
      <w:r w:rsidRPr="00214CA5">
        <w:rPr>
          <w:color w:val="008000"/>
          <w:shd w:val="clear" w:color="auto" w:fill="FFFF99"/>
        </w:rPr>
        <w:t xml:space="preserve"> días de </w:t>
      </w:r>
      <w:r w:rsidRPr="00214CA5">
        <w:rPr>
          <w:i/>
          <w:color w:val="008000"/>
          <w:shd w:val="clear" w:color="auto" w:fill="FFFF99"/>
        </w:rPr>
        <w:t>Prolongación del tiempo medio de Supervivencia Libre de Evento (PtSLEv)</w:t>
      </w:r>
      <w:r w:rsidRPr="00214CA5">
        <w:rPr>
          <w:color w:val="008000"/>
        </w:rPr>
        <w:t xml:space="preserve"> </w:t>
      </w:r>
      <w:r w:rsidRPr="00214CA5">
        <w:t>gracias a la intervención (</w:t>
      </w:r>
      <w:r w:rsidRPr="00214CA5">
        <w:rPr>
          <w:b/>
        </w:rPr>
        <w:t>tabla nnt-</w:t>
      </w:r>
      <w:r>
        <w:rPr>
          <w:b/>
        </w:rPr>
        <w:t>1</w:t>
      </w:r>
      <w:r w:rsidRPr="00214CA5">
        <w:t>).</w:t>
      </w:r>
    </w:p>
    <w:p w14:paraId="36837671" w14:textId="64178780" w:rsidR="00ED3173" w:rsidRPr="00214CA5" w:rsidRDefault="00ED3173" w:rsidP="00ED3173">
      <w:pPr>
        <w:spacing w:after="0" w:line="240" w:lineRule="auto"/>
        <w:ind w:firstLine="708"/>
        <w:jc w:val="both"/>
      </w:pPr>
      <w:r w:rsidRPr="00214CA5">
        <w:t xml:space="preserve">Al distribuir estos 3 tiempos biográficos sobre los tres destinos del NNT = </w:t>
      </w:r>
      <w:r>
        <w:t>45</w:t>
      </w:r>
      <w:r w:rsidRPr="00214CA5">
        <w:t>, encontramos que, de cada 4</w:t>
      </w:r>
      <w:r>
        <w:t>5</w:t>
      </w:r>
      <w:r w:rsidRPr="00214CA5">
        <w:t xml:space="preserve"> pacientes tratados: </w:t>
      </w:r>
      <w:r w:rsidRPr="00214CA5">
        <w:rPr>
          <w:b/>
        </w:rPr>
        <w:t>a)</w:t>
      </w:r>
      <w:r w:rsidRPr="00214CA5">
        <w:t xml:space="preserve"> </w:t>
      </w:r>
      <w:r>
        <w:t>41</w:t>
      </w:r>
      <w:r w:rsidRPr="00214CA5">
        <w:t xml:space="preserve"> no tendrán el evento durante los </w:t>
      </w:r>
      <w:r>
        <w:t>30</w:t>
      </w:r>
      <w:r w:rsidRPr="00214CA5">
        <w:t xml:space="preserve"> meses en ambos grupos; </w:t>
      </w:r>
      <w:r w:rsidRPr="00214CA5">
        <w:rPr>
          <w:b/>
        </w:rPr>
        <w:t>b)</w:t>
      </w:r>
      <w:r w:rsidRPr="00214CA5">
        <w:t xml:space="preserve"> 2 tendrán el evento tras </w:t>
      </w:r>
      <w:r>
        <w:t>14</w:t>
      </w:r>
      <w:r w:rsidRPr="00214CA5">
        <w:t xml:space="preserve"> meses en ambos grupos; y </w:t>
      </w:r>
      <w:r w:rsidRPr="00214CA5">
        <w:rPr>
          <w:b/>
        </w:rPr>
        <w:t>c)</w:t>
      </w:r>
      <w:r w:rsidRPr="00214CA5">
        <w:t xml:space="preserve"> 1 evitará el evento durante los </w:t>
      </w:r>
      <w:r>
        <w:t>30</w:t>
      </w:r>
      <w:r w:rsidRPr="00214CA5">
        <w:t xml:space="preserve"> meses en el grupo de intervención, mientras que ese 1 sufrirá el evento tras 1</w:t>
      </w:r>
      <w:r>
        <w:t>6</w:t>
      </w:r>
      <w:r w:rsidRPr="00214CA5">
        <w:t xml:space="preserve"> meses en el grupo de control (</w:t>
      </w:r>
      <w:r w:rsidRPr="00214CA5">
        <w:rPr>
          <w:b/>
        </w:rPr>
        <w:t>gráfico g-1.</w:t>
      </w:r>
      <w:r>
        <w:rPr>
          <w:b/>
        </w:rPr>
        <w:t>3</w:t>
      </w:r>
      <w:r w:rsidRPr="00214CA5">
        <w:t>).</w:t>
      </w:r>
    </w:p>
    <w:p w14:paraId="0BB306CE" w14:textId="13FD6640" w:rsidR="00F210A2" w:rsidRPr="008B6551" w:rsidRDefault="00F210A2" w:rsidP="00ED3173">
      <w:pPr>
        <w:spacing w:after="0" w:line="240" w:lineRule="auto"/>
        <w:ind w:firstLine="708"/>
        <w:jc w:val="both"/>
      </w:pPr>
    </w:p>
    <w:p w14:paraId="22EFC079" w14:textId="2AC56857" w:rsidR="0098626A" w:rsidRPr="008B6551" w:rsidRDefault="00ED3173" w:rsidP="0098626A">
      <w:pPr>
        <w:spacing w:after="0" w:line="240" w:lineRule="auto"/>
        <w:ind w:firstLine="708"/>
        <w:jc w:val="both"/>
      </w:pPr>
      <w:r>
        <w:rPr>
          <w:b/>
        </w:rPr>
        <w:t>2</w:t>
      </w:r>
      <w:r w:rsidR="0098626A" w:rsidRPr="008B6551">
        <w:rPr>
          <w:b/>
        </w:rPr>
        <w:t xml:space="preserve">. </w:t>
      </w:r>
      <w:r w:rsidR="008D6869">
        <w:rPr>
          <w:b/>
        </w:rPr>
        <w:t>“</w:t>
      </w:r>
      <w:r w:rsidR="0098626A" w:rsidRPr="00ED3173">
        <w:t>1</w:t>
      </w:r>
      <w:r w:rsidR="0098626A" w:rsidRPr="00ED3173">
        <w:rPr>
          <w:vertAlign w:val="superscript"/>
        </w:rPr>
        <w:t xml:space="preserve">er </w:t>
      </w:r>
      <w:r w:rsidR="0098626A" w:rsidRPr="00ED3173">
        <w:t>evento de</w:t>
      </w:r>
      <w:r w:rsidR="0098626A" w:rsidRPr="00F210A2">
        <w:rPr>
          <w:b/>
        </w:rPr>
        <w:t xml:space="preserve"> </w:t>
      </w:r>
      <w:r w:rsidR="0098626A" w:rsidRPr="0098626A">
        <w:rPr>
          <w:b/>
        </w:rPr>
        <w:t>[Mort CV, IAM o Ictus]</w:t>
      </w:r>
      <w:r w:rsidR="008D6869">
        <w:rPr>
          <w:b/>
        </w:rPr>
        <w:t>”</w:t>
      </w:r>
      <w:r w:rsidR="0098626A">
        <w:rPr>
          <w:b/>
        </w:rPr>
        <w:t xml:space="preserve">: </w:t>
      </w:r>
      <w:r w:rsidR="0098626A" w:rsidRPr="008B6551">
        <w:t xml:space="preserve">Hubo un </w:t>
      </w:r>
      <w:r w:rsidR="0098626A">
        <w:t>9,8</w:t>
      </w:r>
      <w:r w:rsidR="0098626A" w:rsidRPr="008B6551">
        <w:t xml:space="preserve">% de primeros eventos con </w:t>
      </w:r>
      <w:r w:rsidR="0098626A">
        <w:t>cana</w:t>
      </w:r>
      <w:r w:rsidR="00D731C9">
        <w:t>gliflo</w:t>
      </w:r>
      <w:r w:rsidR="0098626A">
        <w:t>zina</w:t>
      </w:r>
      <w:r w:rsidR="0098626A" w:rsidRPr="008B6551">
        <w:t xml:space="preserve"> frente a un </w:t>
      </w:r>
      <w:r w:rsidR="0098626A">
        <w:t>12,2</w:t>
      </w:r>
      <w:r w:rsidR="0098626A" w:rsidRPr="008B6551">
        <w:t xml:space="preserve">% con placebo; RR </w:t>
      </w:r>
      <w:r w:rsidR="0098626A" w:rsidRPr="0098626A">
        <w:t>0,81 (0,68-0,95)</w:t>
      </w:r>
      <w:r w:rsidR="0098626A">
        <w:t xml:space="preserve">; RAR </w:t>
      </w:r>
      <w:r w:rsidR="0098626A" w:rsidRPr="0098626A">
        <w:t>2,38% (0,52% a 4,23%)</w:t>
      </w:r>
      <w:r w:rsidR="0098626A">
        <w:t xml:space="preserve">; </w:t>
      </w:r>
      <w:r w:rsidR="0098626A" w:rsidRPr="0098626A">
        <w:rPr>
          <w:color w:val="008000"/>
          <w:shd w:val="clear" w:color="auto" w:fill="FFFF99"/>
        </w:rPr>
        <w:t>NNT 42 (24 a 191)</w:t>
      </w:r>
      <w:r w:rsidR="0098626A" w:rsidRPr="008B6551">
        <w:rPr>
          <w:color w:val="008000"/>
          <w:shd w:val="clear" w:color="auto" w:fill="FFFF99"/>
        </w:rPr>
        <w:t xml:space="preserve"> en </w:t>
      </w:r>
      <w:r w:rsidR="0098626A">
        <w:rPr>
          <w:color w:val="008000"/>
          <w:shd w:val="clear" w:color="auto" w:fill="FFFF99"/>
        </w:rPr>
        <w:t>30 meses</w:t>
      </w:r>
      <w:r w:rsidR="0098626A" w:rsidRPr="008B6551">
        <w:t xml:space="preserve">. </w:t>
      </w:r>
      <w:r w:rsidR="00443A56" w:rsidRPr="008D6869">
        <w:t xml:space="preserve">La validez </w:t>
      </w:r>
      <w:r w:rsidR="00443A56">
        <w:t xml:space="preserve">GRADE de esta evidencia la graduamos como </w:t>
      </w:r>
      <w:r w:rsidR="00443A56" w:rsidRPr="008D6869">
        <w:t>MODERADA</w:t>
      </w:r>
      <w:r w:rsidR="0098626A" w:rsidRPr="008B6551">
        <w:t>.</w:t>
      </w:r>
    </w:p>
    <w:p w14:paraId="5066247F" w14:textId="77777777" w:rsidR="008B6551" w:rsidRPr="008B6551" w:rsidRDefault="008B6551" w:rsidP="00F210A2">
      <w:pPr>
        <w:spacing w:after="0" w:line="240" w:lineRule="auto"/>
        <w:jc w:val="both"/>
      </w:pPr>
    </w:p>
    <w:p w14:paraId="6143F3EC" w14:textId="6F711A33" w:rsidR="00BB1FDD" w:rsidRDefault="00ED3173" w:rsidP="00C20EFF">
      <w:pPr>
        <w:spacing w:after="0" w:line="240" w:lineRule="auto"/>
        <w:ind w:firstLine="708"/>
        <w:jc w:val="both"/>
        <w:rPr>
          <w:shd w:val="clear" w:color="auto" w:fill="D9D9D9" w:themeFill="background1" w:themeFillShade="D9"/>
        </w:rPr>
      </w:pPr>
      <w:r>
        <w:rPr>
          <w:b/>
        </w:rPr>
        <w:t>3</w:t>
      </w:r>
      <w:r w:rsidRPr="008B6551">
        <w:rPr>
          <w:b/>
        </w:rPr>
        <w:t>. “</w:t>
      </w:r>
      <w:r w:rsidRPr="00214CA5">
        <w:t>1</w:t>
      </w:r>
      <w:r w:rsidRPr="00214CA5">
        <w:rPr>
          <w:vertAlign w:val="superscript"/>
        </w:rPr>
        <w:t>er</w:t>
      </w:r>
      <w:r w:rsidRPr="00214CA5">
        <w:t xml:space="preserve"> evento de</w:t>
      </w:r>
      <w:r w:rsidRPr="008B6551">
        <w:rPr>
          <w:b/>
        </w:rPr>
        <w:t xml:space="preserve"> [Duplicación de creatinina, FGe &lt;15 ml/min, Diálisis, Tr</w:t>
      </w:r>
      <w:r>
        <w:rPr>
          <w:b/>
        </w:rPr>
        <w:t>aspl</w:t>
      </w:r>
      <w:r w:rsidRPr="008B6551">
        <w:rPr>
          <w:b/>
        </w:rPr>
        <w:t>ante renal, Muerte por causa CV o Muerte por causa Renal]</w:t>
      </w:r>
      <w:r>
        <w:rPr>
          <w:b/>
        </w:rPr>
        <w:t>”</w:t>
      </w:r>
      <w:r w:rsidRPr="008B6551">
        <w:rPr>
          <w:b/>
          <w:color w:val="7F7F7F" w:themeColor="text1" w:themeTint="80"/>
        </w:rPr>
        <w:t>:</w:t>
      </w:r>
      <w:r w:rsidRPr="008B6551">
        <w:t xml:space="preserve"> </w:t>
      </w:r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</w:p>
    <w:p w14:paraId="6106FA7B" w14:textId="63C42682" w:rsidR="00C20EFF" w:rsidRDefault="00C20EFF" w:rsidP="00C20EFF">
      <w:pPr>
        <w:spacing w:after="0" w:line="240" w:lineRule="auto"/>
        <w:jc w:val="both"/>
        <w:rPr>
          <w:b/>
          <w:u w:val="single"/>
        </w:rPr>
      </w:pPr>
    </w:p>
    <w:p w14:paraId="770643A8" w14:textId="77777777" w:rsidR="00C20EFF" w:rsidRDefault="00C20EFF" w:rsidP="00C20EFF">
      <w:pPr>
        <w:spacing w:after="0" w:line="240" w:lineRule="auto"/>
        <w:jc w:val="both"/>
        <w:rPr>
          <w:b/>
          <w:u w:val="single"/>
        </w:rPr>
      </w:pPr>
    </w:p>
    <w:p w14:paraId="06F19521" w14:textId="77777777" w:rsidR="00BB1FDD" w:rsidRDefault="00BB1FDD" w:rsidP="00BB1FDD">
      <w:pPr>
        <w:pStyle w:val="Sinespaciado"/>
        <w:jc w:val="both"/>
        <w:rPr>
          <w:b/>
          <w:u w:val="single"/>
        </w:rPr>
      </w:pPr>
      <w:r>
        <w:rPr>
          <w:b/>
          <w:u w:val="single"/>
        </w:rPr>
        <w:t>E</w:t>
      </w:r>
      <w:r w:rsidRPr="00AD0B7D">
        <w:rPr>
          <w:b/>
          <w:u w:val="single"/>
        </w:rPr>
        <w:t xml:space="preserve">fectos adversos </w:t>
      </w:r>
      <w:r>
        <w:rPr>
          <w:b/>
          <w:u w:val="single"/>
        </w:rPr>
        <w:t xml:space="preserve">(EA) registrados, </w:t>
      </w:r>
      <w:r w:rsidRPr="00AD0B7D">
        <w:rPr>
          <w:b/>
          <w:u w:val="single"/>
        </w:rPr>
        <w:t>no incluidos en las variables primarias ni secundarias</w:t>
      </w:r>
    </w:p>
    <w:p w14:paraId="7CF2D825" w14:textId="77777777" w:rsidR="00BB1FDD" w:rsidRDefault="00BB1FDD" w:rsidP="00BB1FDD">
      <w:pPr>
        <w:pStyle w:val="Sinespaciado"/>
        <w:jc w:val="both"/>
        <w:rPr>
          <w:b/>
          <w:u w:val="single"/>
        </w:rPr>
      </w:pPr>
    </w:p>
    <w:p w14:paraId="0B5AF663" w14:textId="5D2AAE9C" w:rsidR="00BB1FDD" w:rsidRDefault="00BB1FDD" w:rsidP="00BB1FDD">
      <w:pPr>
        <w:pStyle w:val="Sinespaciado"/>
        <w:jc w:val="both"/>
      </w:pPr>
      <w:r w:rsidRPr="00B71B22">
        <w:rPr>
          <w:b/>
          <w:bCs/>
        </w:rPr>
        <w:t>1</w:t>
      </w:r>
      <w:r>
        <w:rPr>
          <w:b/>
          <w:bCs/>
        </w:rPr>
        <w:t>º</w:t>
      </w:r>
      <w:r>
        <w:t xml:space="preserve"> No se encontraron diferencias en:</w:t>
      </w:r>
      <w:r w:rsidRPr="00095651">
        <w:rPr>
          <w:b/>
        </w:rPr>
        <w:t xml:space="preserve"> </w:t>
      </w:r>
      <w:r w:rsidRPr="00B71B22">
        <w:rPr>
          <w:b/>
          <w:bCs/>
        </w:rPr>
        <w:t xml:space="preserve">a) </w:t>
      </w:r>
      <w:r w:rsidRPr="00BB1FDD">
        <w:rPr>
          <w:b/>
          <w:bCs/>
        </w:rPr>
        <w:t>Cualquier EA relacionado con el fármaco del ensayo</w:t>
      </w:r>
      <w:r w:rsidRPr="00B71B22">
        <w:rPr>
          <w:b/>
          <w:bCs/>
        </w:rPr>
        <w:t>:</w:t>
      </w:r>
      <w:r>
        <w:t xml:space="preserve"> 2% en ambos grupos. </w:t>
      </w:r>
    </w:p>
    <w:p w14:paraId="086CCC1C" w14:textId="2EF9D461" w:rsidR="00BB1FDD" w:rsidRDefault="00BB1FDD" w:rsidP="00ED3173">
      <w:pPr>
        <w:pStyle w:val="Sinespaciado"/>
        <w:ind w:firstLine="708"/>
        <w:jc w:val="both"/>
      </w:pPr>
      <w:r>
        <w:t xml:space="preserve">De los </w:t>
      </w:r>
      <w:r w:rsidRPr="00B71B22">
        <w:t>EA de especial interés con los inhibidores del cotransportador sodio-glucosa tipo 2, SGTL-2</w:t>
      </w:r>
      <w:r>
        <w:t xml:space="preserve">: </w:t>
      </w:r>
      <w:r w:rsidRPr="00BB1FDD">
        <w:rPr>
          <w:b/>
          <w:bCs/>
        </w:rPr>
        <w:t>b) Amputaciones:</w:t>
      </w:r>
      <w:r>
        <w:t xml:space="preserve"> </w:t>
      </w:r>
      <w:proofErr w:type="gramStart"/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>
        <w:t>;</w:t>
      </w:r>
      <w:proofErr w:type="gramEnd"/>
      <w:r>
        <w:t xml:space="preserve"> </w:t>
      </w:r>
      <w:r w:rsidRPr="00BB1FDD">
        <w:rPr>
          <w:b/>
          <w:bCs/>
        </w:rPr>
        <w:t>c) Fracturas:</w:t>
      </w:r>
      <w:r>
        <w:t xml:space="preserve"> </w:t>
      </w:r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>
        <w:t xml:space="preserve">; </w:t>
      </w:r>
      <w:r w:rsidRPr="00BB1FDD">
        <w:rPr>
          <w:b/>
          <w:bCs/>
        </w:rPr>
        <w:t>d) Carcinoma células renales:</w:t>
      </w:r>
      <w:r>
        <w:t xml:space="preserve"> </w:t>
      </w:r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>
        <w:t xml:space="preserve">; </w:t>
      </w:r>
      <w:r w:rsidRPr="00BB1FDD">
        <w:rPr>
          <w:b/>
          <w:bCs/>
        </w:rPr>
        <w:t>e) Cáncer de mama:</w:t>
      </w:r>
      <w:r>
        <w:t xml:space="preserve"> </w:t>
      </w:r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>
        <w:t xml:space="preserve">; </w:t>
      </w:r>
      <w:r w:rsidRPr="00BB1FDD">
        <w:rPr>
          <w:b/>
          <w:bCs/>
        </w:rPr>
        <w:t>f) Cáncer hematológico:</w:t>
      </w:r>
      <w:r>
        <w:t xml:space="preserve"> </w:t>
      </w:r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>
        <w:t xml:space="preserve">; </w:t>
      </w:r>
      <w:r w:rsidRPr="00BB1FDD">
        <w:rPr>
          <w:b/>
          <w:bCs/>
        </w:rPr>
        <w:t>g) Pancreatitis:</w:t>
      </w:r>
      <w:r>
        <w:t xml:space="preserve"> </w:t>
      </w:r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>
        <w:t xml:space="preserve">; </w:t>
      </w:r>
      <w:r w:rsidRPr="00BB1FDD">
        <w:rPr>
          <w:b/>
          <w:bCs/>
        </w:rPr>
        <w:t xml:space="preserve">h) Hipercalcemia: </w:t>
      </w:r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>
        <w:t xml:space="preserve">; </w:t>
      </w:r>
      <w:r w:rsidRPr="00BB1FDD">
        <w:rPr>
          <w:b/>
          <w:bCs/>
        </w:rPr>
        <w:t>i) Fallo renal agudo:</w:t>
      </w:r>
      <w:r>
        <w:t xml:space="preserve"> </w:t>
      </w:r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>
        <w:t>.</w:t>
      </w:r>
    </w:p>
    <w:p w14:paraId="246CC385" w14:textId="77777777" w:rsidR="00BB1FDD" w:rsidRDefault="00BB1FDD" w:rsidP="00BB1FDD">
      <w:pPr>
        <w:pStyle w:val="Sinespaciado"/>
        <w:jc w:val="both"/>
      </w:pPr>
    </w:p>
    <w:p w14:paraId="7B9595B6" w14:textId="000D8DBB" w:rsidR="00BB1FDD" w:rsidRDefault="00BB1FDD" w:rsidP="00BB1FDD">
      <w:pPr>
        <w:pStyle w:val="Sinespaciado"/>
        <w:jc w:val="both"/>
      </w:pPr>
      <w:r>
        <w:rPr>
          <w:b/>
          <w:bCs/>
        </w:rPr>
        <w:t>2º</w:t>
      </w:r>
      <w:r>
        <w:t xml:space="preserve"> Se encontraron diferencias estadísticamente significativas a favor de cana</w:t>
      </w:r>
      <w:r w:rsidR="00D731C9">
        <w:t>gliflo</w:t>
      </w:r>
      <w:r>
        <w:t>zina en</w:t>
      </w:r>
      <w:r w:rsidRPr="00BB1FDD">
        <w:rPr>
          <w:b/>
          <w:bCs/>
        </w:rPr>
        <w:t>:</w:t>
      </w:r>
      <w:r w:rsidR="00CD5E25">
        <w:rPr>
          <w:b/>
          <w:bCs/>
        </w:rPr>
        <w:t xml:space="preserve"> </w:t>
      </w:r>
      <w:r w:rsidRPr="00BB1FDD">
        <w:rPr>
          <w:b/>
          <w:bCs/>
        </w:rPr>
        <w:t>a) Cualquier evento adverso:</w:t>
      </w:r>
      <w:r>
        <w:t xml:space="preserve"> </w:t>
      </w:r>
      <w:r>
        <w:rPr>
          <w:color w:val="008000"/>
        </w:rPr>
        <w:t>81</w:t>
      </w:r>
      <w:r w:rsidRPr="00314512">
        <w:rPr>
          <w:color w:val="008000"/>
        </w:rPr>
        <w:t xml:space="preserve">% </w:t>
      </w:r>
      <w:r>
        <w:t xml:space="preserve">vs </w:t>
      </w:r>
      <w:r w:rsidRPr="00ED3173">
        <w:rPr>
          <w:color w:val="000000" w:themeColor="text1"/>
        </w:rPr>
        <w:t>85%</w:t>
      </w:r>
      <w:r>
        <w:t xml:space="preserve">; </w:t>
      </w:r>
      <w:r w:rsidRPr="00BB1FDD">
        <w:rPr>
          <w:b/>
          <w:bCs/>
        </w:rPr>
        <w:t>b)</w:t>
      </w:r>
      <w:r>
        <w:t xml:space="preserve"> </w:t>
      </w:r>
      <w:r w:rsidRPr="00314512">
        <w:rPr>
          <w:b/>
        </w:rPr>
        <w:t>Cualquier EA que amenaza la vida o el funcionamiento del paciente (</w:t>
      </w:r>
      <w:r>
        <w:rPr>
          <w:b/>
        </w:rPr>
        <w:t>“</w:t>
      </w:r>
      <w:r w:rsidRPr="00314512">
        <w:rPr>
          <w:b/>
        </w:rPr>
        <w:t>serious</w:t>
      </w:r>
      <w:r>
        <w:rPr>
          <w:b/>
        </w:rPr>
        <w:t>”</w:t>
      </w:r>
      <w:r w:rsidRPr="00314512">
        <w:rPr>
          <w:b/>
        </w:rPr>
        <w:t>)</w:t>
      </w:r>
      <w:r w:rsidRPr="008E2B71">
        <w:rPr>
          <w:b/>
        </w:rPr>
        <w:t>:</w:t>
      </w:r>
      <w:r>
        <w:t xml:space="preserve"> </w:t>
      </w:r>
      <w:proofErr w:type="gramStart"/>
      <w:r w:rsidR="00C20EFF" w:rsidRPr="004A310B">
        <w:rPr>
          <w:shd w:val="clear" w:color="auto" w:fill="D9D9D9" w:themeFill="background1" w:themeFillShade="D9"/>
        </w:rPr>
        <w:t>…</w:t>
      </w:r>
      <w:r w:rsidR="00C20EFF">
        <w:rPr>
          <w:shd w:val="clear" w:color="auto" w:fill="D9D9D9" w:themeFill="background1" w:themeFillShade="D9"/>
        </w:rPr>
        <w:t xml:space="preserve">  </w:t>
      </w:r>
      <w:r>
        <w:t>.</w:t>
      </w:r>
      <w:proofErr w:type="gramEnd"/>
      <w:r>
        <w:t xml:space="preserve"> </w:t>
      </w:r>
    </w:p>
    <w:p w14:paraId="349D6380" w14:textId="77777777" w:rsidR="00BB1FDD" w:rsidRDefault="00BB1FDD" w:rsidP="00BB1FDD">
      <w:pPr>
        <w:pStyle w:val="Sinespaciado"/>
        <w:jc w:val="both"/>
      </w:pPr>
    </w:p>
    <w:p w14:paraId="14FEED0F" w14:textId="3F3CD880" w:rsidR="00BB1FDD" w:rsidRDefault="00BB1FDD" w:rsidP="00BB1FDD">
      <w:pPr>
        <w:pStyle w:val="Sinespaciado"/>
        <w:jc w:val="both"/>
      </w:pPr>
      <w:r w:rsidRPr="00771AA1">
        <w:rPr>
          <w:b/>
          <w:bCs/>
        </w:rPr>
        <w:t xml:space="preserve">3º </w:t>
      </w:r>
      <w:r>
        <w:t>Se encontraron diferencias estadísticamente significativas en contra de cana</w:t>
      </w:r>
      <w:r w:rsidR="00D731C9">
        <w:t>gliflo</w:t>
      </w:r>
      <w:r>
        <w:t xml:space="preserve">zina en: </w:t>
      </w:r>
      <w:r w:rsidRPr="00771AA1">
        <w:rPr>
          <w:b/>
          <w:bCs/>
        </w:rPr>
        <w:t>Cetoacido</w:t>
      </w:r>
      <w:r w:rsidR="00B67A7C">
        <w:rPr>
          <w:b/>
          <w:bCs/>
        </w:rPr>
        <w:t>s</w:t>
      </w:r>
      <w:r w:rsidRPr="00771AA1">
        <w:rPr>
          <w:b/>
          <w:bCs/>
        </w:rPr>
        <w:t>is diabética:</w:t>
      </w:r>
      <w:r>
        <w:t xml:space="preserve"> </w:t>
      </w:r>
      <w:r>
        <w:rPr>
          <w:color w:val="FF0000"/>
        </w:rPr>
        <w:t>0,5</w:t>
      </w:r>
      <w:r w:rsidRPr="001323FE">
        <w:rPr>
          <w:color w:val="FF0000"/>
        </w:rPr>
        <w:t xml:space="preserve">% </w:t>
      </w:r>
      <w:r>
        <w:t xml:space="preserve">vs </w:t>
      </w:r>
      <w:r w:rsidRPr="00ED3173">
        <w:rPr>
          <w:color w:val="000000" w:themeColor="text1"/>
        </w:rPr>
        <w:t>0,05%.</w:t>
      </w:r>
    </w:p>
    <w:p w14:paraId="12D91DD6" w14:textId="77777777" w:rsidR="00BB1FDD" w:rsidRDefault="00BB1FDD" w:rsidP="00BB1FDD">
      <w:pPr>
        <w:pStyle w:val="Sinespaciado"/>
        <w:ind w:firstLine="708"/>
        <w:jc w:val="both"/>
      </w:pPr>
    </w:p>
    <w:p w14:paraId="1451A4F8" w14:textId="77777777" w:rsidR="00ED3173" w:rsidRDefault="00ED3173" w:rsidP="00ED3173">
      <w:pPr>
        <w:pStyle w:val="Sinespaciado"/>
        <w:jc w:val="both"/>
      </w:pPr>
      <w:r>
        <w:tab/>
        <w:t>Es necesario añadir que los investigadores no informan de qué proporción de cada EA informado se ha relacionado con los tratamientos estudiados (</w:t>
      </w:r>
      <w:r w:rsidRPr="003D526F">
        <w:rPr>
          <w:b/>
        </w:rPr>
        <w:t>tabla nnt-2</w:t>
      </w:r>
      <w:r>
        <w:t>).</w:t>
      </w:r>
      <w:r w:rsidRPr="00C36D55">
        <w:t xml:space="preserve"> La validez de la evidencia del resultado de estos Efectos Adversos la hemos estimado</w:t>
      </w:r>
      <w:r>
        <w:t xml:space="preserve"> MODERADA.</w:t>
      </w:r>
    </w:p>
    <w:p w14:paraId="1B327B8A" w14:textId="77777777" w:rsidR="00ED3173" w:rsidRDefault="00ED3173" w:rsidP="00ED3173">
      <w:pPr>
        <w:pStyle w:val="Sinespaciado"/>
        <w:ind w:firstLine="708"/>
        <w:jc w:val="both"/>
        <w:rPr>
          <w:color w:val="000000" w:themeColor="text1"/>
        </w:rPr>
      </w:pPr>
    </w:p>
    <w:p w14:paraId="7ABA0E82" w14:textId="77777777" w:rsidR="00ED3173" w:rsidRPr="00CE0032" w:rsidRDefault="00ED3173" w:rsidP="00ED3173">
      <w:pPr>
        <w:pStyle w:val="Sinespaciado"/>
        <w:jc w:val="both"/>
      </w:pPr>
      <w:r w:rsidRPr="00CE0032">
        <w:t xml:space="preserve">Todos los datos de beneficios y efectos adversos pueden verse en detalle en las </w:t>
      </w:r>
      <w:r w:rsidRPr="00CE0032">
        <w:rPr>
          <w:b/>
        </w:rPr>
        <w:t>tablas nnt</w:t>
      </w:r>
      <w:r w:rsidRPr="00CE0032">
        <w:t xml:space="preserve"> (con los NNT), </w:t>
      </w:r>
      <w:r w:rsidRPr="00CE0032">
        <w:rPr>
          <w:b/>
        </w:rPr>
        <w:t>tablas 3tB</w:t>
      </w:r>
      <w:r w:rsidRPr="00CE0032">
        <w:t xml:space="preserve"> (con los 3 tiempos biográficos [3tB]) y los </w:t>
      </w:r>
      <w:r w:rsidRPr="00CE0032">
        <w:rPr>
          <w:b/>
        </w:rPr>
        <w:t>gráficos g</w:t>
      </w:r>
      <w:r w:rsidRPr="00CE0032">
        <w:t xml:space="preserve"> (que distribuyen los 3 tiempos biográficos 3tB sobre los 3 destinos del NNT [3dNNT]).</w:t>
      </w:r>
    </w:p>
    <w:p w14:paraId="339C7761" w14:textId="77777777" w:rsidR="00BB1FDD" w:rsidRDefault="00BB1FDD" w:rsidP="00BB1FDD">
      <w:pPr>
        <w:pStyle w:val="Sinespaciado"/>
        <w:jc w:val="both"/>
      </w:pPr>
    </w:p>
    <w:p w14:paraId="149C820F" w14:textId="77777777" w:rsidR="00BB1FDD" w:rsidRPr="00A60231" w:rsidRDefault="00BB1FDD" w:rsidP="00BB1FD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Hoja de información al usuario (F</w:t>
      </w:r>
      <w:r w:rsidRPr="000231F4">
        <w:rPr>
          <w:b/>
        </w:rPr>
        <w:t>ACT BOX</w:t>
      </w:r>
      <w:r>
        <w:rPr>
          <w:b/>
        </w:rPr>
        <w:t>)</w:t>
      </w:r>
      <w:r w:rsidRPr="000231F4">
        <w:rPr>
          <w:b/>
        </w:rPr>
        <w:t xml:space="preserve">: </w:t>
      </w:r>
      <w:r>
        <w:t>Para ayuda a la toma de decisiones con usuarios mostramos los resultados de beneficios y efectos adversos en un Fact Box a derecha de nuestras tablas de resultados.</w:t>
      </w:r>
    </w:p>
    <w:p w14:paraId="7810F185" w14:textId="77777777" w:rsidR="000231F4" w:rsidRDefault="000231F4" w:rsidP="00154E47">
      <w:pPr>
        <w:jc w:val="both"/>
        <w:rPr>
          <w:rFonts w:cstheme="minorHAnsi"/>
        </w:rPr>
      </w:pPr>
    </w:p>
    <w:p w14:paraId="3D0E67BD" w14:textId="77777777" w:rsidR="00CE14CB" w:rsidRDefault="00CE14CB" w:rsidP="00154E47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6CAE9134" w14:textId="77777777" w:rsidR="00CE14CB" w:rsidRDefault="00CE14CB" w:rsidP="00950F0F">
      <w:pPr>
        <w:pStyle w:val="Sinespaciado"/>
        <w:jc w:val="both"/>
        <w:rPr>
          <w:rFonts w:cstheme="minorHAnsi"/>
        </w:rPr>
        <w:sectPr w:rsidR="00CE14CB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005660A" w14:textId="597B8048" w:rsidR="00E00343" w:rsidRDefault="00E00343" w:rsidP="00950F0F">
      <w:pPr>
        <w:pStyle w:val="Sinespaciado"/>
        <w:jc w:val="both"/>
        <w:rPr>
          <w:rFonts w:cstheme="minorHAnsi"/>
        </w:rPr>
      </w:pPr>
      <w:r w:rsidRPr="00E00343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6188681" wp14:editId="2409DCA8">
            <wp:simplePos x="0" y="0"/>
            <wp:positionH relativeFrom="column">
              <wp:posOffset>-733453</wp:posOffset>
            </wp:positionH>
            <wp:positionV relativeFrom="paragraph">
              <wp:posOffset>-6709</wp:posOffset>
            </wp:positionV>
            <wp:extent cx="10359654" cy="4524292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110" cy="45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52C62" w14:textId="77777777" w:rsidR="00E00343" w:rsidRDefault="00E00343">
      <w:pPr>
        <w:rPr>
          <w:rFonts w:cstheme="minorHAnsi"/>
        </w:rPr>
      </w:pPr>
      <w:r>
        <w:rPr>
          <w:rFonts w:cstheme="minorHAnsi"/>
        </w:rPr>
        <w:br w:type="page"/>
      </w:r>
    </w:p>
    <w:p w14:paraId="0D1AD574" w14:textId="77777777" w:rsidR="00ED3173" w:rsidRDefault="00ED3173" w:rsidP="00950F0F">
      <w:pPr>
        <w:pStyle w:val="Sinespaciado"/>
        <w:jc w:val="both"/>
        <w:rPr>
          <w:rFonts w:cstheme="minorHAnsi"/>
        </w:rPr>
      </w:pPr>
    </w:p>
    <w:p w14:paraId="75849EB1" w14:textId="0360682E" w:rsidR="00052F17" w:rsidRDefault="00052F17" w:rsidP="00E00343">
      <w:pPr>
        <w:rPr>
          <w:rFonts w:cstheme="minorHAnsi"/>
        </w:rPr>
      </w:pPr>
      <w:r w:rsidRPr="00052F17">
        <w:rPr>
          <w:noProof/>
        </w:rPr>
        <w:drawing>
          <wp:anchor distT="0" distB="0" distL="114300" distR="114300" simplePos="0" relativeHeight="251659264" behindDoc="0" locked="0" layoutInCell="1" allowOverlap="1" wp14:anchorId="4E0E891B" wp14:editId="3C4A7CE5">
            <wp:simplePos x="0" y="0"/>
            <wp:positionH relativeFrom="column">
              <wp:posOffset>-710345</wp:posOffset>
            </wp:positionH>
            <wp:positionV relativeFrom="paragraph">
              <wp:posOffset>-238490</wp:posOffset>
            </wp:positionV>
            <wp:extent cx="7957996" cy="6492494"/>
            <wp:effectExtent l="0" t="0" r="508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996" cy="649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br w:type="page"/>
      </w:r>
      <w:r w:rsidR="00E00343" w:rsidRPr="00E00343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9C6E19E" wp14:editId="03B93612">
            <wp:simplePos x="0" y="0"/>
            <wp:positionH relativeFrom="column">
              <wp:posOffset>-638037</wp:posOffset>
            </wp:positionH>
            <wp:positionV relativeFrom="paragraph">
              <wp:posOffset>-332712</wp:posOffset>
            </wp:positionV>
            <wp:extent cx="7554568" cy="6591631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54" cy="659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br w:type="page"/>
      </w:r>
    </w:p>
    <w:p w14:paraId="6018521F" w14:textId="135BE4D6" w:rsidR="00052F17" w:rsidRDefault="00E00343">
      <w:pPr>
        <w:rPr>
          <w:rFonts w:cstheme="minorHAnsi"/>
        </w:rPr>
      </w:pPr>
      <w:r w:rsidRPr="00E00343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D13A723" wp14:editId="243C30C5">
            <wp:simplePos x="0" y="0"/>
            <wp:positionH relativeFrom="column">
              <wp:posOffset>-598281</wp:posOffset>
            </wp:positionH>
            <wp:positionV relativeFrom="paragraph">
              <wp:posOffset>-308859</wp:posOffset>
            </wp:positionV>
            <wp:extent cx="7386087" cy="6337189"/>
            <wp:effectExtent l="0" t="0" r="5715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282" cy="634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F17">
        <w:rPr>
          <w:rFonts w:cstheme="minorHAnsi"/>
        </w:rPr>
        <w:br w:type="page"/>
      </w:r>
    </w:p>
    <w:p w14:paraId="798A7FB6" w14:textId="609174E4" w:rsidR="00052F17" w:rsidRDefault="00E00343" w:rsidP="00950F0F">
      <w:pPr>
        <w:pStyle w:val="Sinespaciado"/>
        <w:jc w:val="both"/>
        <w:rPr>
          <w:rFonts w:cstheme="minorHAnsi"/>
        </w:rPr>
      </w:pPr>
      <w:r w:rsidRPr="00E00343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BE8E8DF" wp14:editId="109482A8">
            <wp:simplePos x="0" y="0"/>
            <wp:positionH relativeFrom="column">
              <wp:posOffset>-693696</wp:posOffset>
            </wp:positionH>
            <wp:positionV relativeFrom="paragraph">
              <wp:posOffset>-261151</wp:posOffset>
            </wp:positionV>
            <wp:extent cx="9506349" cy="583625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578" cy="583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CA2B2" w14:textId="77777777" w:rsidR="00052F17" w:rsidRDefault="00052F17">
      <w:pPr>
        <w:rPr>
          <w:rFonts w:cstheme="minorHAnsi"/>
        </w:rPr>
      </w:pPr>
      <w:r>
        <w:rPr>
          <w:rFonts w:cstheme="minorHAnsi"/>
        </w:rPr>
        <w:br w:type="page"/>
      </w:r>
    </w:p>
    <w:p w14:paraId="09E3588D" w14:textId="47AD5404" w:rsidR="001C264B" w:rsidRDefault="00E00343" w:rsidP="00950F0F">
      <w:pPr>
        <w:pStyle w:val="Sinespaciado"/>
        <w:jc w:val="both"/>
        <w:rPr>
          <w:rFonts w:cstheme="minorHAnsi"/>
        </w:rPr>
      </w:pPr>
      <w:r w:rsidRPr="00E0034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B971515" wp14:editId="0FE14166">
            <wp:simplePos x="0" y="0"/>
            <wp:positionH relativeFrom="column">
              <wp:posOffset>-724922</wp:posOffset>
            </wp:positionH>
            <wp:positionV relativeFrom="paragraph">
              <wp:posOffset>-22556</wp:posOffset>
            </wp:positionV>
            <wp:extent cx="10336254" cy="5200153"/>
            <wp:effectExtent l="0" t="0" r="8255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254" cy="52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1412" w14:textId="0E122CCD" w:rsidR="00CA3DBF" w:rsidRPr="00D6192E" w:rsidRDefault="00CA3DBF" w:rsidP="00B67A7C">
      <w:pPr>
        <w:rPr>
          <w:rFonts w:cstheme="minorHAnsi"/>
        </w:rPr>
      </w:pPr>
    </w:p>
    <w:sectPr w:rsidR="00CA3DBF" w:rsidRPr="00D6192E" w:rsidSect="00CE14C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B48E" w14:textId="77777777" w:rsidR="00060B5A" w:rsidRDefault="00060B5A" w:rsidP="00A50615">
      <w:pPr>
        <w:spacing w:after="0" w:line="240" w:lineRule="auto"/>
      </w:pPr>
      <w:r>
        <w:separator/>
      </w:r>
    </w:p>
  </w:endnote>
  <w:endnote w:type="continuationSeparator" w:id="0">
    <w:p w14:paraId="0D59D282" w14:textId="77777777" w:rsidR="00060B5A" w:rsidRDefault="00060B5A" w:rsidP="00A5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670367"/>
      <w:docPartObj>
        <w:docPartGallery w:val="Page Numbers (Bottom of Page)"/>
        <w:docPartUnique/>
      </w:docPartObj>
    </w:sdtPr>
    <w:sdtEndPr/>
    <w:sdtContent>
      <w:p w14:paraId="07C4811B" w14:textId="77777777" w:rsidR="006D2089" w:rsidRDefault="006D20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CA2">
          <w:rPr>
            <w:noProof/>
          </w:rPr>
          <w:t>8</w:t>
        </w:r>
        <w:r>
          <w:fldChar w:fldCharType="end"/>
        </w:r>
      </w:p>
    </w:sdtContent>
  </w:sdt>
  <w:p w14:paraId="1899B098" w14:textId="77777777" w:rsidR="006D2089" w:rsidRDefault="006D2089" w:rsidP="006A3A96">
    <w:pPr>
      <w:pStyle w:val="Piedepgina"/>
      <w:tabs>
        <w:tab w:val="clear" w:pos="4252"/>
        <w:tab w:val="clear" w:pos="8504"/>
        <w:tab w:val="left" w:pos="1249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BE84" w14:textId="77777777" w:rsidR="00060B5A" w:rsidRDefault="00060B5A" w:rsidP="00A50615">
      <w:pPr>
        <w:spacing w:after="0" w:line="240" w:lineRule="auto"/>
      </w:pPr>
      <w:r>
        <w:separator/>
      </w:r>
    </w:p>
  </w:footnote>
  <w:footnote w:type="continuationSeparator" w:id="0">
    <w:p w14:paraId="6B1DAC4C" w14:textId="77777777" w:rsidR="00060B5A" w:rsidRDefault="00060B5A" w:rsidP="00A50615">
      <w:pPr>
        <w:spacing w:after="0" w:line="240" w:lineRule="auto"/>
      </w:pPr>
      <w:r>
        <w:continuationSeparator/>
      </w:r>
    </w:p>
  </w:footnote>
  <w:footnote w:id="1">
    <w:p w14:paraId="29D0494D" w14:textId="77777777" w:rsidR="00A4623B" w:rsidRDefault="00A4623B" w:rsidP="00A4623B">
      <w:pPr>
        <w:pStyle w:val="Textonotapie"/>
        <w:jc w:val="both"/>
      </w:pPr>
      <w:r w:rsidRPr="00953A2F">
        <w:rPr>
          <w:rStyle w:val="Refdenotaalpie"/>
          <w:b/>
          <w:color w:val="FF0066"/>
        </w:rPr>
        <w:footnoteRef/>
      </w:r>
      <w:r w:rsidRPr="00953A2F">
        <w:rPr>
          <w:b/>
          <w:color w:val="FF0066"/>
        </w:rPr>
        <w:t xml:space="preserve"> </w:t>
      </w:r>
      <w:r>
        <w:t>Hemos realizado los cálculos por incidencias acumuladas crudas (en RR, RAR y NNT) y también en tiempo hasta el evento (HR, RAR y NNT), y los resultados obtenidos son similares. Los mostramos por incidencias acumuladas porque la curva de Kaplan-Meier, para este tiempo de seguimiento, en este caso se puede asumir como una función lineal.</w:t>
      </w:r>
    </w:p>
  </w:footnote>
  <w:footnote w:id="2">
    <w:p w14:paraId="5803C86D" w14:textId="77777777" w:rsidR="001F57F1" w:rsidRPr="004E4DCB" w:rsidRDefault="001F57F1" w:rsidP="001F57F1">
      <w:pPr>
        <w:pStyle w:val="Sinespaciado"/>
        <w:jc w:val="both"/>
        <w:rPr>
          <w:sz w:val="18"/>
          <w:szCs w:val="18"/>
        </w:rPr>
      </w:pPr>
      <w:r w:rsidRPr="004E4DCB">
        <w:rPr>
          <w:rStyle w:val="Refdenotaalpie"/>
          <w:b/>
          <w:color w:val="FF0066"/>
          <w:sz w:val="18"/>
          <w:szCs w:val="18"/>
        </w:rPr>
        <w:footnoteRef/>
      </w:r>
      <w:r w:rsidRPr="004E4DCB">
        <w:rPr>
          <w:color w:val="FF0066"/>
          <w:sz w:val="18"/>
          <w:szCs w:val="18"/>
        </w:rPr>
        <w:t xml:space="preserve"> </w:t>
      </w:r>
      <w:r w:rsidRPr="004E4DCB">
        <w:rPr>
          <w:sz w:val="18"/>
          <w:szCs w:val="18"/>
        </w:rPr>
        <w:t>Sánchez-Robles GA.</w:t>
      </w:r>
      <w:r w:rsidRPr="004E4DCB">
        <w:rPr>
          <w:i/>
          <w:sz w:val="18"/>
          <w:szCs w:val="18"/>
        </w:rPr>
        <w:t xml:space="preserve"> </w:t>
      </w:r>
      <w:r w:rsidRPr="004E4DCB">
        <w:rPr>
          <w:bCs/>
          <w:i/>
          <w:sz w:val="18"/>
          <w:szCs w:val="18"/>
        </w:rPr>
        <w:t xml:space="preserve">PUNTO DE VISTA: </w:t>
      </w:r>
      <w:r w:rsidRPr="004E4DCB">
        <w:rPr>
          <w:i/>
          <w:sz w:val="18"/>
          <w:szCs w:val="18"/>
        </w:rPr>
        <w:t>De qué clases de evidencias o verdades hablamos cuando hablamos de “Medicina Basada en la Evidencia”</w:t>
      </w:r>
      <w:r w:rsidRPr="004E4DCB">
        <w:rPr>
          <w:sz w:val="18"/>
          <w:szCs w:val="18"/>
        </w:rPr>
        <w:t xml:space="preserve">. Web evalmed, 3-ago-2022. Disponible en: </w:t>
      </w:r>
      <w:hyperlink r:id="rId1" w:history="1">
        <w:r w:rsidRPr="004E4DCB">
          <w:rPr>
            <w:rStyle w:val="Hipervnculo"/>
            <w:sz w:val="18"/>
            <w:szCs w:val="18"/>
          </w:rPr>
          <w:t>http://evalmed.es/2022/08/03/pv-de-que-clases-de-evidencias-o-verdades-hablamos/</w:t>
        </w:r>
      </w:hyperlink>
    </w:p>
  </w:footnote>
  <w:footnote w:id="3">
    <w:p w14:paraId="242CD497" w14:textId="77777777" w:rsidR="001F57F1" w:rsidRPr="004E4DCB" w:rsidRDefault="001F57F1" w:rsidP="001F57F1">
      <w:pPr>
        <w:pStyle w:val="Textonotapie"/>
        <w:jc w:val="both"/>
        <w:rPr>
          <w:sz w:val="18"/>
          <w:szCs w:val="18"/>
        </w:rPr>
      </w:pPr>
      <w:r w:rsidRPr="004E4DCB">
        <w:rPr>
          <w:rStyle w:val="Refdenotaalpie"/>
          <w:b/>
          <w:color w:val="FF0066"/>
          <w:sz w:val="18"/>
          <w:szCs w:val="18"/>
        </w:rPr>
        <w:footnoteRef/>
      </w:r>
      <w:r w:rsidRPr="004E4DCB">
        <w:rPr>
          <w:sz w:val="18"/>
          <w:szCs w:val="18"/>
        </w:rPr>
        <w:t xml:space="preserve"> Sánchez-Robles GA.</w:t>
      </w:r>
      <w:r w:rsidRPr="004E4DCB">
        <w:rPr>
          <w:i/>
          <w:sz w:val="18"/>
          <w:szCs w:val="18"/>
        </w:rPr>
        <w:t xml:space="preserve"> </w:t>
      </w:r>
      <w:r w:rsidRPr="004E4DCB">
        <w:rPr>
          <w:bCs/>
          <w:i/>
          <w:iCs/>
          <w:sz w:val="18"/>
          <w:szCs w:val="18"/>
        </w:rPr>
        <w:t>PUNTO DE VISTA: Qué significan “validez”, “calidad” o “certeza” de un resultado en el campo de la epidemiología clínica, desde las coordenadas de la Teoría del Cierre Categorial de las Ciencias.</w:t>
      </w:r>
      <w:r w:rsidRPr="004E4DCB">
        <w:rPr>
          <w:b/>
          <w:sz w:val="18"/>
          <w:szCs w:val="18"/>
        </w:rPr>
        <w:t xml:space="preserve"> </w:t>
      </w:r>
      <w:r w:rsidRPr="004E4DCB">
        <w:rPr>
          <w:sz w:val="18"/>
          <w:szCs w:val="18"/>
        </w:rPr>
        <w:t xml:space="preserve">Web evalmed, 19-feb-2023. Disponible en: </w:t>
      </w:r>
      <w:hyperlink r:id="rId2" w:history="1">
        <w:r w:rsidRPr="004E4DCB">
          <w:rPr>
            <w:rStyle w:val="Hipervnculo"/>
            <w:sz w:val="18"/>
            <w:szCs w:val="18"/>
          </w:rPr>
          <w:t>http://evalmed.es/2023/02/19/pv-que-significa-validez-calidad-o-certeza-de-un-resultado/</w:t>
        </w:r>
      </w:hyperlink>
    </w:p>
  </w:footnote>
  <w:footnote w:id="4">
    <w:p w14:paraId="5A545C57" w14:textId="77777777" w:rsidR="008B6551" w:rsidRPr="008751EF" w:rsidRDefault="008B6551" w:rsidP="008B6551">
      <w:pPr>
        <w:pStyle w:val="Textonotapie"/>
        <w:jc w:val="both"/>
      </w:pPr>
      <w:r w:rsidRPr="00330274">
        <w:rPr>
          <w:rStyle w:val="Refdenotaalpie"/>
          <w:b/>
          <w:color w:val="FF0066"/>
        </w:rPr>
        <w:footnoteRef/>
      </w:r>
      <w:r w:rsidRPr="00330274">
        <w:rPr>
          <w:b/>
          <w:color w:val="FF0066"/>
        </w:rPr>
        <w:t xml:space="preserve"> </w:t>
      </w:r>
      <w:r>
        <w:t>Sánchez-Robles GA.</w:t>
      </w:r>
      <w:r w:rsidRPr="00B01448">
        <w:rPr>
          <w:i/>
        </w:rPr>
        <w:t xml:space="preserve"> </w:t>
      </w:r>
      <w:r w:rsidRPr="00B01448">
        <w:rPr>
          <w:bCs/>
          <w:i/>
        </w:rPr>
        <w:t>PUNTO DE VISTA: Las variables combinadas son conceptos oscuros y confusos, y no experienciales</w:t>
      </w:r>
      <w:r w:rsidRPr="00B01448">
        <w:rPr>
          <w:bCs/>
        </w:rPr>
        <w:t xml:space="preserve">. Web evalmed.es, 21-may-2021. Disponible en: </w:t>
      </w:r>
      <w:hyperlink r:id="rId3" w:history="1">
        <w:r w:rsidRPr="00B01448">
          <w:rPr>
            <w:rStyle w:val="Hipervnculo"/>
            <w:bCs/>
          </w:rPr>
          <w:t>http://evalmed.es/2021/05/21/pv-las-variables-combinadas-son-no-experienciales/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1B95" w14:textId="77777777" w:rsidR="00033473" w:rsidRPr="0035564C" w:rsidRDefault="00033473" w:rsidP="00033473">
    <w:pPr>
      <w:pStyle w:val="Encabezado"/>
      <w:jc w:val="right"/>
      <w:rPr>
        <w:i/>
        <w:sz w:val="16"/>
      </w:rPr>
    </w:pPr>
    <w:r>
      <w:rPr>
        <w:i/>
        <w:sz w:val="16"/>
      </w:rPr>
      <w:t>Evaluador/a.….</w:t>
    </w:r>
  </w:p>
  <w:p w14:paraId="00B15257" w14:textId="74611432" w:rsidR="006D2089" w:rsidRPr="00154E47" w:rsidRDefault="00E501AB" w:rsidP="00547BAC">
    <w:pPr>
      <w:pStyle w:val="Encabezado"/>
      <w:jc w:val="right"/>
      <w:rPr>
        <w:i/>
        <w:sz w:val="16"/>
      </w:rPr>
    </w:pPr>
    <w:r>
      <w:rPr>
        <w:i/>
        <w:sz w:val="16"/>
      </w:rPr>
      <w:t xml:space="preserve">ERC + </w:t>
    </w:r>
    <w:r w:rsidR="003003A9">
      <w:rPr>
        <w:i/>
        <w:sz w:val="16"/>
      </w:rPr>
      <w:t>DM2</w:t>
    </w:r>
    <w:r w:rsidR="003003A9" w:rsidRPr="00DC27A6">
      <w:rPr>
        <w:i/>
        <w:sz w:val="16"/>
      </w:rPr>
      <w:t xml:space="preserve"> [</w:t>
    </w:r>
    <w:proofErr w:type="spellStart"/>
    <w:r w:rsidR="003003A9">
      <w:rPr>
        <w:i/>
        <w:sz w:val="16"/>
      </w:rPr>
      <w:t>Cana</w:t>
    </w:r>
    <w:r w:rsidR="00D731C9">
      <w:rPr>
        <w:i/>
        <w:sz w:val="16"/>
      </w:rPr>
      <w:t>gl</w:t>
    </w:r>
    <w:proofErr w:type="spellEnd"/>
    <w:r>
      <w:rPr>
        <w:i/>
        <w:sz w:val="16"/>
      </w:rPr>
      <w:t xml:space="preserve"> vs</w:t>
    </w:r>
    <w:r w:rsidR="003003A9" w:rsidRPr="00DC27A6">
      <w:rPr>
        <w:i/>
        <w:sz w:val="16"/>
      </w:rPr>
      <w:t xml:space="preserve"> </w:t>
    </w:r>
    <w:proofErr w:type="spellStart"/>
    <w:r w:rsidR="003003A9" w:rsidRPr="00DC27A6">
      <w:rPr>
        <w:i/>
        <w:sz w:val="16"/>
      </w:rPr>
      <w:t>Pl</w:t>
    </w:r>
    <w:proofErr w:type="spellEnd"/>
    <w:r w:rsidR="003003A9" w:rsidRPr="00DC27A6">
      <w:rPr>
        <w:i/>
        <w:sz w:val="16"/>
      </w:rPr>
      <w:t xml:space="preserve">], </w:t>
    </w:r>
    <w:r w:rsidR="003003A9">
      <w:rPr>
        <w:i/>
        <w:sz w:val="16"/>
      </w:rPr>
      <w:t>30</w:t>
    </w:r>
    <w:r w:rsidR="003003A9" w:rsidRPr="00DC27A6">
      <w:rPr>
        <w:i/>
        <w:sz w:val="16"/>
      </w:rPr>
      <w:t>m</w:t>
    </w:r>
    <w:r w:rsidR="006D2089" w:rsidRPr="00154E47">
      <w:rPr>
        <w:i/>
        <w:sz w:val="16"/>
      </w:rPr>
      <w:t>,</w:t>
    </w:r>
    <w:r w:rsidR="0017704A">
      <w:rPr>
        <w:i/>
        <w:sz w:val="16"/>
      </w:rPr>
      <w:t xml:space="preserve"> </w:t>
    </w:r>
    <w:r w:rsidR="00033473">
      <w:rPr>
        <w:i/>
        <w:sz w:val="16"/>
      </w:rPr>
      <w:t>fecha</w:t>
    </w:r>
    <w:proofErr w:type="gramStart"/>
    <w:r w:rsidR="00033473">
      <w:rPr>
        <w:i/>
        <w:sz w:val="16"/>
      </w:rPr>
      <w:t xml:space="preserve"> ….</w:t>
    </w:r>
    <w:proofErr w:type="gramEnd"/>
    <w:r w:rsidR="00033473">
      <w:rPr>
        <w:i/>
        <w:sz w:val="16"/>
      </w:rPr>
      <w:t>.</w:t>
    </w:r>
  </w:p>
  <w:p w14:paraId="2DB07300" w14:textId="77777777" w:rsidR="006D2089" w:rsidRDefault="006D20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2E"/>
    <w:rsid w:val="00002078"/>
    <w:rsid w:val="000039CC"/>
    <w:rsid w:val="000069E3"/>
    <w:rsid w:val="000075E3"/>
    <w:rsid w:val="000109D1"/>
    <w:rsid w:val="00016430"/>
    <w:rsid w:val="000231F4"/>
    <w:rsid w:val="0002727C"/>
    <w:rsid w:val="000323AB"/>
    <w:rsid w:val="00033473"/>
    <w:rsid w:val="00034114"/>
    <w:rsid w:val="00037AE6"/>
    <w:rsid w:val="000448F4"/>
    <w:rsid w:val="00052F17"/>
    <w:rsid w:val="0005494E"/>
    <w:rsid w:val="00056B73"/>
    <w:rsid w:val="00060B5A"/>
    <w:rsid w:val="000648D2"/>
    <w:rsid w:val="00074413"/>
    <w:rsid w:val="00077279"/>
    <w:rsid w:val="000865E1"/>
    <w:rsid w:val="000A5471"/>
    <w:rsid w:val="000B3773"/>
    <w:rsid w:val="000C381B"/>
    <w:rsid w:val="000C499C"/>
    <w:rsid w:val="000D3BEC"/>
    <w:rsid w:val="000E53DF"/>
    <w:rsid w:val="000E5C88"/>
    <w:rsid w:val="000E66DA"/>
    <w:rsid w:val="000E6E9B"/>
    <w:rsid w:val="000F3A19"/>
    <w:rsid w:val="00115F57"/>
    <w:rsid w:val="001171A8"/>
    <w:rsid w:val="00140180"/>
    <w:rsid w:val="00154E47"/>
    <w:rsid w:val="00157DB3"/>
    <w:rsid w:val="00163891"/>
    <w:rsid w:val="00163B69"/>
    <w:rsid w:val="00172A3E"/>
    <w:rsid w:val="0017704A"/>
    <w:rsid w:val="001773EC"/>
    <w:rsid w:val="00183FA4"/>
    <w:rsid w:val="00184624"/>
    <w:rsid w:val="00191D2F"/>
    <w:rsid w:val="00192496"/>
    <w:rsid w:val="001A0373"/>
    <w:rsid w:val="001A138F"/>
    <w:rsid w:val="001A1EDA"/>
    <w:rsid w:val="001A569E"/>
    <w:rsid w:val="001A5768"/>
    <w:rsid w:val="001A5A08"/>
    <w:rsid w:val="001B2D21"/>
    <w:rsid w:val="001C264B"/>
    <w:rsid w:val="001C3CFA"/>
    <w:rsid w:val="001D123C"/>
    <w:rsid w:val="001E44C4"/>
    <w:rsid w:val="001F0173"/>
    <w:rsid w:val="001F57F1"/>
    <w:rsid w:val="00210439"/>
    <w:rsid w:val="00214CA5"/>
    <w:rsid w:val="00253C38"/>
    <w:rsid w:val="00262572"/>
    <w:rsid w:val="00271617"/>
    <w:rsid w:val="00273CC9"/>
    <w:rsid w:val="00275519"/>
    <w:rsid w:val="00287AEA"/>
    <w:rsid w:val="00294F1B"/>
    <w:rsid w:val="002A7D04"/>
    <w:rsid w:val="002B3B01"/>
    <w:rsid w:val="002C4FCB"/>
    <w:rsid w:val="002D3D5D"/>
    <w:rsid w:val="002E1F42"/>
    <w:rsid w:val="003003A9"/>
    <w:rsid w:val="00302757"/>
    <w:rsid w:val="00315462"/>
    <w:rsid w:val="00315744"/>
    <w:rsid w:val="00316B2F"/>
    <w:rsid w:val="003258B6"/>
    <w:rsid w:val="003356CA"/>
    <w:rsid w:val="0035009C"/>
    <w:rsid w:val="00350D3D"/>
    <w:rsid w:val="0036162C"/>
    <w:rsid w:val="00365ED3"/>
    <w:rsid w:val="0037108A"/>
    <w:rsid w:val="003851BA"/>
    <w:rsid w:val="003940A4"/>
    <w:rsid w:val="003A15DC"/>
    <w:rsid w:val="003A1DAB"/>
    <w:rsid w:val="003A250B"/>
    <w:rsid w:val="003A593E"/>
    <w:rsid w:val="003B025F"/>
    <w:rsid w:val="003B1FDA"/>
    <w:rsid w:val="003C137B"/>
    <w:rsid w:val="003D4F12"/>
    <w:rsid w:val="003D70E3"/>
    <w:rsid w:val="003D7235"/>
    <w:rsid w:val="003E5A8F"/>
    <w:rsid w:val="003E66CA"/>
    <w:rsid w:val="0040092D"/>
    <w:rsid w:val="00405459"/>
    <w:rsid w:val="00416583"/>
    <w:rsid w:val="004329A8"/>
    <w:rsid w:val="004418E2"/>
    <w:rsid w:val="00443A56"/>
    <w:rsid w:val="00447FC1"/>
    <w:rsid w:val="004505E6"/>
    <w:rsid w:val="00470C25"/>
    <w:rsid w:val="004A2D89"/>
    <w:rsid w:val="004C0C18"/>
    <w:rsid w:val="004C2B30"/>
    <w:rsid w:val="004C5D5F"/>
    <w:rsid w:val="004C6DFF"/>
    <w:rsid w:val="004C746F"/>
    <w:rsid w:val="004D1095"/>
    <w:rsid w:val="004D173F"/>
    <w:rsid w:val="004D2D0C"/>
    <w:rsid w:val="004E295A"/>
    <w:rsid w:val="004E4330"/>
    <w:rsid w:val="004E72DC"/>
    <w:rsid w:val="004F6663"/>
    <w:rsid w:val="00503042"/>
    <w:rsid w:val="00511C37"/>
    <w:rsid w:val="00522CE9"/>
    <w:rsid w:val="00537E87"/>
    <w:rsid w:val="00547BAC"/>
    <w:rsid w:val="005518D1"/>
    <w:rsid w:val="00553E30"/>
    <w:rsid w:val="00596116"/>
    <w:rsid w:val="005A4EA2"/>
    <w:rsid w:val="005A6EAF"/>
    <w:rsid w:val="005B15AD"/>
    <w:rsid w:val="005B1803"/>
    <w:rsid w:val="005D7E7C"/>
    <w:rsid w:val="005E1AAE"/>
    <w:rsid w:val="005F2E36"/>
    <w:rsid w:val="005F5D37"/>
    <w:rsid w:val="005F6792"/>
    <w:rsid w:val="00614653"/>
    <w:rsid w:val="0062125C"/>
    <w:rsid w:val="0062282D"/>
    <w:rsid w:val="006261E2"/>
    <w:rsid w:val="00640291"/>
    <w:rsid w:val="0064624A"/>
    <w:rsid w:val="006468A2"/>
    <w:rsid w:val="006474C9"/>
    <w:rsid w:val="0064773B"/>
    <w:rsid w:val="00657BFF"/>
    <w:rsid w:val="00691917"/>
    <w:rsid w:val="006A214A"/>
    <w:rsid w:val="006A28E3"/>
    <w:rsid w:val="006A3A96"/>
    <w:rsid w:val="006A6D1C"/>
    <w:rsid w:val="006A7F77"/>
    <w:rsid w:val="006B5E45"/>
    <w:rsid w:val="006C5867"/>
    <w:rsid w:val="006D2089"/>
    <w:rsid w:val="006E0E4B"/>
    <w:rsid w:val="006E2238"/>
    <w:rsid w:val="007038FA"/>
    <w:rsid w:val="0070627F"/>
    <w:rsid w:val="00720AAC"/>
    <w:rsid w:val="00722512"/>
    <w:rsid w:val="007238E2"/>
    <w:rsid w:val="00724DCC"/>
    <w:rsid w:val="00741BC7"/>
    <w:rsid w:val="00742C6B"/>
    <w:rsid w:val="00745541"/>
    <w:rsid w:val="0075187C"/>
    <w:rsid w:val="0078662B"/>
    <w:rsid w:val="007905A4"/>
    <w:rsid w:val="007B6964"/>
    <w:rsid w:val="007B7563"/>
    <w:rsid w:val="007F02C9"/>
    <w:rsid w:val="007F122E"/>
    <w:rsid w:val="007F45AB"/>
    <w:rsid w:val="007F67D3"/>
    <w:rsid w:val="00800096"/>
    <w:rsid w:val="00802AF3"/>
    <w:rsid w:val="008240E6"/>
    <w:rsid w:val="00834E85"/>
    <w:rsid w:val="00836830"/>
    <w:rsid w:val="00852851"/>
    <w:rsid w:val="008536F4"/>
    <w:rsid w:val="00882E95"/>
    <w:rsid w:val="008A574A"/>
    <w:rsid w:val="008B051A"/>
    <w:rsid w:val="008B6551"/>
    <w:rsid w:val="008D6869"/>
    <w:rsid w:val="008E087E"/>
    <w:rsid w:val="008E0E1A"/>
    <w:rsid w:val="008F210C"/>
    <w:rsid w:val="008F3286"/>
    <w:rsid w:val="008F6B55"/>
    <w:rsid w:val="0091116D"/>
    <w:rsid w:val="009135C9"/>
    <w:rsid w:val="00920F87"/>
    <w:rsid w:val="009257FA"/>
    <w:rsid w:val="00937DE1"/>
    <w:rsid w:val="009438AC"/>
    <w:rsid w:val="00950F0F"/>
    <w:rsid w:val="0096270E"/>
    <w:rsid w:val="0096723F"/>
    <w:rsid w:val="00970E48"/>
    <w:rsid w:val="00974C47"/>
    <w:rsid w:val="00974D6F"/>
    <w:rsid w:val="009759C2"/>
    <w:rsid w:val="009831D5"/>
    <w:rsid w:val="0098626A"/>
    <w:rsid w:val="009A1E89"/>
    <w:rsid w:val="009A1FB7"/>
    <w:rsid w:val="009B7A5D"/>
    <w:rsid w:val="009C4244"/>
    <w:rsid w:val="009D0C8B"/>
    <w:rsid w:val="009E36A7"/>
    <w:rsid w:val="009F055B"/>
    <w:rsid w:val="009F0CC9"/>
    <w:rsid w:val="00A0084F"/>
    <w:rsid w:val="00A03CA2"/>
    <w:rsid w:val="00A070C7"/>
    <w:rsid w:val="00A1439D"/>
    <w:rsid w:val="00A2651B"/>
    <w:rsid w:val="00A405C4"/>
    <w:rsid w:val="00A4623B"/>
    <w:rsid w:val="00A50116"/>
    <w:rsid w:val="00A50615"/>
    <w:rsid w:val="00A51C72"/>
    <w:rsid w:val="00A601D6"/>
    <w:rsid w:val="00A60231"/>
    <w:rsid w:val="00A733F8"/>
    <w:rsid w:val="00A807FA"/>
    <w:rsid w:val="00A85836"/>
    <w:rsid w:val="00A86292"/>
    <w:rsid w:val="00A909BA"/>
    <w:rsid w:val="00A97791"/>
    <w:rsid w:val="00AA1DF7"/>
    <w:rsid w:val="00AA2FCE"/>
    <w:rsid w:val="00AB1EAE"/>
    <w:rsid w:val="00AD0B7D"/>
    <w:rsid w:val="00AD2E69"/>
    <w:rsid w:val="00AE3CDD"/>
    <w:rsid w:val="00AE74B0"/>
    <w:rsid w:val="00AF15A5"/>
    <w:rsid w:val="00AF1ACD"/>
    <w:rsid w:val="00AF2085"/>
    <w:rsid w:val="00B066C8"/>
    <w:rsid w:val="00B16921"/>
    <w:rsid w:val="00B242AB"/>
    <w:rsid w:val="00B245DB"/>
    <w:rsid w:val="00B27C2C"/>
    <w:rsid w:val="00B30BFD"/>
    <w:rsid w:val="00B3190E"/>
    <w:rsid w:val="00B45271"/>
    <w:rsid w:val="00B53E0E"/>
    <w:rsid w:val="00B54D40"/>
    <w:rsid w:val="00B62D41"/>
    <w:rsid w:val="00B64C2B"/>
    <w:rsid w:val="00B65BB4"/>
    <w:rsid w:val="00B67A7C"/>
    <w:rsid w:val="00BA00D3"/>
    <w:rsid w:val="00BA2D09"/>
    <w:rsid w:val="00BA3B03"/>
    <w:rsid w:val="00BA5422"/>
    <w:rsid w:val="00BA54B4"/>
    <w:rsid w:val="00BA784B"/>
    <w:rsid w:val="00BB1D34"/>
    <w:rsid w:val="00BB1FDD"/>
    <w:rsid w:val="00BC295F"/>
    <w:rsid w:val="00BC67ED"/>
    <w:rsid w:val="00BC7684"/>
    <w:rsid w:val="00BE3C14"/>
    <w:rsid w:val="00BE5957"/>
    <w:rsid w:val="00BF4D85"/>
    <w:rsid w:val="00C10724"/>
    <w:rsid w:val="00C10B9C"/>
    <w:rsid w:val="00C20EFF"/>
    <w:rsid w:val="00C31D8F"/>
    <w:rsid w:val="00C37C2B"/>
    <w:rsid w:val="00C56340"/>
    <w:rsid w:val="00C746EC"/>
    <w:rsid w:val="00C75A8F"/>
    <w:rsid w:val="00C81210"/>
    <w:rsid w:val="00C82E1D"/>
    <w:rsid w:val="00C85C94"/>
    <w:rsid w:val="00C861C8"/>
    <w:rsid w:val="00C90259"/>
    <w:rsid w:val="00C9365D"/>
    <w:rsid w:val="00C94272"/>
    <w:rsid w:val="00C9559C"/>
    <w:rsid w:val="00CA2F03"/>
    <w:rsid w:val="00CA3DBF"/>
    <w:rsid w:val="00CB01EF"/>
    <w:rsid w:val="00CC4F5E"/>
    <w:rsid w:val="00CD5E25"/>
    <w:rsid w:val="00CE14CB"/>
    <w:rsid w:val="00D00A87"/>
    <w:rsid w:val="00D15769"/>
    <w:rsid w:val="00D2215C"/>
    <w:rsid w:val="00D312AC"/>
    <w:rsid w:val="00D31EA9"/>
    <w:rsid w:val="00D33037"/>
    <w:rsid w:val="00D37839"/>
    <w:rsid w:val="00D40C53"/>
    <w:rsid w:val="00D6192E"/>
    <w:rsid w:val="00D66A82"/>
    <w:rsid w:val="00D731C9"/>
    <w:rsid w:val="00D803D1"/>
    <w:rsid w:val="00D8147B"/>
    <w:rsid w:val="00D93344"/>
    <w:rsid w:val="00DA09CD"/>
    <w:rsid w:val="00DB1451"/>
    <w:rsid w:val="00DB30BA"/>
    <w:rsid w:val="00DC552F"/>
    <w:rsid w:val="00DD1842"/>
    <w:rsid w:val="00E00343"/>
    <w:rsid w:val="00E020B9"/>
    <w:rsid w:val="00E03FB3"/>
    <w:rsid w:val="00E06B06"/>
    <w:rsid w:val="00E14B23"/>
    <w:rsid w:val="00E15F13"/>
    <w:rsid w:val="00E169B7"/>
    <w:rsid w:val="00E178D5"/>
    <w:rsid w:val="00E256D1"/>
    <w:rsid w:val="00E35914"/>
    <w:rsid w:val="00E35D75"/>
    <w:rsid w:val="00E501AB"/>
    <w:rsid w:val="00E56B49"/>
    <w:rsid w:val="00E570F8"/>
    <w:rsid w:val="00E62AB2"/>
    <w:rsid w:val="00E80507"/>
    <w:rsid w:val="00EB20F0"/>
    <w:rsid w:val="00EB4E66"/>
    <w:rsid w:val="00EB6EA6"/>
    <w:rsid w:val="00ED3173"/>
    <w:rsid w:val="00ED3410"/>
    <w:rsid w:val="00ED46C5"/>
    <w:rsid w:val="00ED6686"/>
    <w:rsid w:val="00EE4353"/>
    <w:rsid w:val="00F1088B"/>
    <w:rsid w:val="00F1147B"/>
    <w:rsid w:val="00F11505"/>
    <w:rsid w:val="00F15B18"/>
    <w:rsid w:val="00F210A2"/>
    <w:rsid w:val="00F42F12"/>
    <w:rsid w:val="00F63221"/>
    <w:rsid w:val="00F73A0D"/>
    <w:rsid w:val="00F75D51"/>
    <w:rsid w:val="00F75D5B"/>
    <w:rsid w:val="00F83B1F"/>
    <w:rsid w:val="00F87B0B"/>
    <w:rsid w:val="00F92E8C"/>
    <w:rsid w:val="00F94D15"/>
    <w:rsid w:val="00FA72C5"/>
    <w:rsid w:val="00FB0F37"/>
    <w:rsid w:val="00FC76CC"/>
    <w:rsid w:val="00FD604A"/>
    <w:rsid w:val="00FE26FF"/>
    <w:rsid w:val="00FE5B88"/>
    <w:rsid w:val="00FF1AAD"/>
    <w:rsid w:val="00FF4C33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E98B"/>
  <w15:chartTrackingRefBased/>
  <w15:docId w15:val="{178DE78F-F469-4745-B383-B83D3CD0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192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506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06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061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47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BAC"/>
  </w:style>
  <w:style w:type="paragraph" w:styleId="Piedepgina">
    <w:name w:val="footer"/>
    <w:basedOn w:val="Normal"/>
    <w:link w:val="PiedepginaCar"/>
    <w:uiPriority w:val="99"/>
    <w:unhideWhenUsed/>
    <w:rsid w:val="00547B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BAC"/>
  </w:style>
  <w:style w:type="character" w:styleId="Hipervnculo">
    <w:name w:val="Hyperlink"/>
    <w:basedOn w:val="Fuentedeprrafopredeter"/>
    <w:uiPriority w:val="99"/>
    <w:unhideWhenUsed/>
    <w:rsid w:val="008B655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68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valmed.es/2021/05/21/pv-las-variables-combinadas-son-no-experienciales/" TargetMode="External"/><Relationship Id="rId2" Type="http://schemas.openxmlformats.org/officeDocument/2006/relationships/hyperlink" Target="http://evalmed.es/2023/02/19/pv-que-significa-validez-calidad-o-certeza-de-un-resultado/" TargetMode="External"/><Relationship Id="rId1" Type="http://schemas.openxmlformats.org/officeDocument/2006/relationships/hyperlink" Target="http://evalmed.es/2022/08/03/pv-de-que-clases-de-evidencias-o-verdades-hablam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707F-BF1C-4DC9-B890-0E799F02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1363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</dc:creator>
  <cp:keywords/>
  <dc:description/>
  <cp:lastModifiedBy>GALO AGUSTIN SANCHEZ ROBLES</cp:lastModifiedBy>
  <cp:revision>3</cp:revision>
  <cp:lastPrinted>2022-12-05T13:18:00Z</cp:lastPrinted>
  <dcterms:created xsi:type="dcterms:W3CDTF">2023-04-18T15:54:00Z</dcterms:created>
  <dcterms:modified xsi:type="dcterms:W3CDTF">2023-04-19T08:27:00Z</dcterms:modified>
</cp:coreProperties>
</file>