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1715" w14:textId="77777777" w:rsidR="00154E47" w:rsidRPr="00CB01EF" w:rsidRDefault="00154E47" w:rsidP="00D6192E">
      <w:pPr>
        <w:pStyle w:val="Sinespaciado"/>
        <w:jc w:val="both"/>
        <w:rPr>
          <w:sz w:val="24"/>
        </w:rPr>
      </w:pPr>
      <w:r w:rsidRPr="00CB01EF">
        <w:rPr>
          <w:sz w:val="24"/>
        </w:rPr>
        <w:t>VIÑETA</w:t>
      </w:r>
      <w:r w:rsidR="00A60231">
        <w:rPr>
          <w:sz w:val="24"/>
        </w:rPr>
        <w:t xml:space="preserve"> </w:t>
      </w:r>
      <w:r w:rsidRPr="00CB01EF">
        <w:rPr>
          <w:sz w:val="24"/>
        </w:rPr>
        <w:t>DEL</w:t>
      </w:r>
      <w:r w:rsidR="00A60231">
        <w:rPr>
          <w:sz w:val="24"/>
        </w:rPr>
        <w:t xml:space="preserve"> </w:t>
      </w:r>
      <w:r w:rsidRPr="00CB01EF">
        <w:rPr>
          <w:sz w:val="24"/>
        </w:rPr>
        <w:t>ENSAYO</w:t>
      </w:r>
      <w:r w:rsidR="00A60231">
        <w:rPr>
          <w:sz w:val="24"/>
        </w:rPr>
        <w:t xml:space="preserve"> </w:t>
      </w:r>
      <w:r w:rsidRPr="00CB01EF">
        <w:rPr>
          <w:sz w:val="24"/>
        </w:rPr>
        <w:t>CLÍNICO:</w:t>
      </w:r>
    </w:p>
    <w:p w14:paraId="5A6562EF" w14:textId="058667CB" w:rsidR="00D6192E" w:rsidRPr="00154E47" w:rsidRDefault="00A137D7" w:rsidP="00D6192E">
      <w:pPr>
        <w:pStyle w:val="Sinespaciado"/>
        <w:jc w:val="both"/>
        <w:rPr>
          <w:b/>
          <w:sz w:val="28"/>
        </w:rPr>
      </w:pPr>
      <w:r>
        <w:rPr>
          <w:b/>
          <w:sz w:val="28"/>
        </w:rPr>
        <w:t>EMPA-KIDNEY</w:t>
      </w:r>
      <w:r w:rsidR="00802AF3">
        <w:rPr>
          <w:b/>
          <w:sz w:val="28"/>
        </w:rPr>
        <w:t xml:space="preserve">: </w:t>
      </w:r>
      <w:r w:rsidR="00714754" w:rsidRPr="00714754">
        <w:rPr>
          <w:b/>
          <w:sz w:val="28"/>
        </w:rPr>
        <w:t xml:space="preserve">Eventos CV y renales en pacientes con enfermedad renal crónica, con o sin DM2, a cuyo tratamiento estándar se añade </w:t>
      </w:r>
      <w:r w:rsidR="00714754">
        <w:rPr>
          <w:b/>
          <w:sz w:val="28"/>
        </w:rPr>
        <w:t>Em</w:t>
      </w:r>
      <w:r w:rsidR="00714754" w:rsidRPr="00714754">
        <w:rPr>
          <w:b/>
          <w:sz w:val="28"/>
        </w:rPr>
        <w:t>pa</w:t>
      </w:r>
      <w:r w:rsidR="00D147E9">
        <w:rPr>
          <w:b/>
          <w:sz w:val="28"/>
        </w:rPr>
        <w:t>gliflo</w:t>
      </w:r>
      <w:r w:rsidR="00714754" w:rsidRPr="00714754">
        <w:rPr>
          <w:b/>
          <w:sz w:val="28"/>
        </w:rPr>
        <w:t>zina frente a Placebo, durante 24 meses.</w:t>
      </w:r>
    </w:p>
    <w:p w14:paraId="7E9150A6" w14:textId="7565D4BE" w:rsidR="006F593D" w:rsidRDefault="00F061E0" w:rsidP="00BA3A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FF"/>
          <w:sz w:val="20"/>
        </w:rPr>
      </w:pPr>
      <w:proofErr w:type="spellStart"/>
      <w:r w:rsidRPr="00F061E0">
        <w:rPr>
          <w:rFonts w:cstheme="minorHAnsi"/>
          <w:color w:val="0000FF"/>
          <w:sz w:val="20"/>
        </w:rPr>
        <w:t>Herrington</w:t>
      </w:r>
      <w:proofErr w:type="spellEnd"/>
      <w:r w:rsidRPr="00F061E0">
        <w:rPr>
          <w:rFonts w:cstheme="minorHAnsi"/>
          <w:color w:val="0000FF"/>
          <w:sz w:val="20"/>
        </w:rPr>
        <w:t xml:space="preserve"> WG, </w:t>
      </w:r>
      <w:proofErr w:type="spellStart"/>
      <w:r w:rsidRPr="00F061E0">
        <w:rPr>
          <w:rFonts w:cstheme="minorHAnsi"/>
          <w:color w:val="0000FF"/>
          <w:sz w:val="20"/>
        </w:rPr>
        <w:t>Staplin</w:t>
      </w:r>
      <w:proofErr w:type="spellEnd"/>
      <w:r w:rsidRPr="00F061E0">
        <w:rPr>
          <w:rFonts w:cstheme="minorHAnsi"/>
          <w:color w:val="0000FF"/>
          <w:sz w:val="20"/>
        </w:rPr>
        <w:t xml:space="preserve"> N, </w:t>
      </w:r>
      <w:proofErr w:type="spellStart"/>
      <w:r w:rsidRPr="00F061E0">
        <w:rPr>
          <w:rFonts w:cstheme="minorHAnsi"/>
          <w:color w:val="0000FF"/>
          <w:sz w:val="20"/>
        </w:rPr>
        <w:t>Wanner</w:t>
      </w:r>
      <w:proofErr w:type="spellEnd"/>
      <w:r w:rsidRPr="00F061E0">
        <w:rPr>
          <w:rFonts w:cstheme="minorHAnsi"/>
          <w:color w:val="0000FF"/>
          <w:sz w:val="20"/>
        </w:rPr>
        <w:t xml:space="preserve"> C, Green JB, </w:t>
      </w:r>
      <w:proofErr w:type="spellStart"/>
      <w:r w:rsidRPr="00F061E0">
        <w:rPr>
          <w:rFonts w:cstheme="minorHAnsi"/>
          <w:color w:val="0000FF"/>
          <w:sz w:val="20"/>
        </w:rPr>
        <w:t>on</w:t>
      </w:r>
      <w:proofErr w:type="spellEnd"/>
      <w:r w:rsidRPr="00F061E0">
        <w:rPr>
          <w:rFonts w:cstheme="minorHAnsi"/>
          <w:color w:val="0000FF"/>
          <w:sz w:val="20"/>
        </w:rPr>
        <w:t xml:space="preserve"> </w:t>
      </w:r>
      <w:proofErr w:type="spellStart"/>
      <w:r w:rsidRPr="00F061E0">
        <w:rPr>
          <w:rFonts w:cstheme="minorHAnsi"/>
          <w:color w:val="0000FF"/>
          <w:sz w:val="20"/>
        </w:rPr>
        <w:t>behalf</w:t>
      </w:r>
      <w:proofErr w:type="spellEnd"/>
      <w:r w:rsidRPr="00F061E0">
        <w:rPr>
          <w:rFonts w:cstheme="minorHAnsi"/>
          <w:color w:val="0000FF"/>
          <w:sz w:val="20"/>
        </w:rPr>
        <w:t xml:space="preserve"> </w:t>
      </w:r>
      <w:proofErr w:type="spellStart"/>
      <w:r w:rsidRPr="00F061E0">
        <w:rPr>
          <w:rFonts w:cstheme="minorHAnsi"/>
          <w:color w:val="0000FF"/>
          <w:sz w:val="20"/>
        </w:rPr>
        <w:t>of</w:t>
      </w:r>
      <w:proofErr w:type="spellEnd"/>
      <w:r w:rsidRPr="00F061E0">
        <w:rPr>
          <w:rFonts w:cstheme="minorHAnsi"/>
          <w:color w:val="0000FF"/>
          <w:sz w:val="20"/>
        </w:rPr>
        <w:t xml:space="preserve"> </w:t>
      </w:r>
      <w:proofErr w:type="spellStart"/>
      <w:r w:rsidRPr="00F061E0">
        <w:rPr>
          <w:rFonts w:cstheme="minorHAnsi"/>
          <w:color w:val="0000FF"/>
          <w:sz w:val="20"/>
        </w:rPr>
        <w:t>the</w:t>
      </w:r>
      <w:proofErr w:type="spellEnd"/>
      <w:r w:rsidRPr="00F061E0">
        <w:rPr>
          <w:rFonts w:cstheme="minorHAnsi"/>
          <w:color w:val="0000FF"/>
          <w:sz w:val="20"/>
        </w:rPr>
        <w:t xml:space="preserve"> EMPA-KIDNEY </w:t>
      </w:r>
      <w:proofErr w:type="spellStart"/>
      <w:r w:rsidRPr="00F061E0">
        <w:rPr>
          <w:rFonts w:cstheme="minorHAnsi"/>
          <w:color w:val="0000FF"/>
          <w:sz w:val="20"/>
        </w:rPr>
        <w:t>Collaborative</w:t>
      </w:r>
      <w:proofErr w:type="spellEnd"/>
      <w:r w:rsidRPr="00F061E0">
        <w:rPr>
          <w:rFonts w:cstheme="minorHAnsi"/>
          <w:color w:val="0000FF"/>
          <w:sz w:val="20"/>
        </w:rPr>
        <w:t xml:space="preserve"> </w:t>
      </w:r>
      <w:proofErr w:type="spellStart"/>
      <w:r w:rsidRPr="00F061E0">
        <w:rPr>
          <w:rFonts w:cstheme="minorHAnsi"/>
          <w:color w:val="0000FF"/>
          <w:sz w:val="20"/>
        </w:rPr>
        <w:t>Group</w:t>
      </w:r>
      <w:proofErr w:type="spellEnd"/>
      <w:r w:rsidRPr="00F061E0">
        <w:rPr>
          <w:rFonts w:cstheme="minorHAnsi"/>
          <w:color w:val="0000FF"/>
          <w:sz w:val="20"/>
        </w:rPr>
        <w:t xml:space="preserve">. </w:t>
      </w:r>
      <w:proofErr w:type="spellStart"/>
      <w:r w:rsidRPr="00F061E0">
        <w:rPr>
          <w:rFonts w:cstheme="minorHAnsi"/>
          <w:color w:val="0000FF"/>
          <w:sz w:val="20"/>
        </w:rPr>
        <w:t>Empagliflozin</w:t>
      </w:r>
      <w:proofErr w:type="spellEnd"/>
      <w:r w:rsidRPr="00F061E0">
        <w:rPr>
          <w:rFonts w:cstheme="minorHAnsi"/>
          <w:color w:val="0000FF"/>
          <w:sz w:val="20"/>
        </w:rPr>
        <w:t xml:space="preserve"> in </w:t>
      </w:r>
      <w:proofErr w:type="spellStart"/>
      <w:r w:rsidRPr="00F061E0">
        <w:rPr>
          <w:rFonts w:cstheme="minorHAnsi"/>
          <w:color w:val="0000FF"/>
          <w:sz w:val="20"/>
        </w:rPr>
        <w:t>Patients</w:t>
      </w:r>
      <w:proofErr w:type="spellEnd"/>
      <w:r w:rsidRPr="00F061E0">
        <w:rPr>
          <w:rFonts w:cstheme="minorHAnsi"/>
          <w:color w:val="0000FF"/>
          <w:sz w:val="20"/>
        </w:rPr>
        <w:t xml:space="preserve"> </w:t>
      </w:r>
      <w:proofErr w:type="spellStart"/>
      <w:r w:rsidRPr="00F061E0">
        <w:rPr>
          <w:rFonts w:cstheme="minorHAnsi"/>
          <w:color w:val="0000FF"/>
          <w:sz w:val="20"/>
        </w:rPr>
        <w:t>with</w:t>
      </w:r>
      <w:proofErr w:type="spellEnd"/>
      <w:r w:rsidRPr="00F061E0">
        <w:rPr>
          <w:rFonts w:cstheme="minorHAnsi"/>
          <w:color w:val="0000FF"/>
          <w:sz w:val="20"/>
        </w:rPr>
        <w:t xml:space="preserve"> </w:t>
      </w:r>
      <w:proofErr w:type="spellStart"/>
      <w:r w:rsidRPr="00F061E0">
        <w:rPr>
          <w:rFonts w:cstheme="minorHAnsi"/>
          <w:color w:val="0000FF"/>
          <w:sz w:val="20"/>
        </w:rPr>
        <w:t>Chronic</w:t>
      </w:r>
      <w:proofErr w:type="spellEnd"/>
      <w:r w:rsidRPr="00F061E0">
        <w:rPr>
          <w:rFonts w:cstheme="minorHAnsi"/>
          <w:color w:val="0000FF"/>
          <w:sz w:val="20"/>
        </w:rPr>
        <w:t xml:space="preserve"> </w:t>
      </w:r>
      <w:proofErr w:type="spellStart"/>
      <w:r w:rsidRPr="00F061E0">
        <w:rPr>
          <w:rFonts w:cstheme="minorHAnsi"/>
          <w:color w:val="0000FF"/>
          <w:sz w:val="20"/>
        </w:rPr>
        <w:t>Kidney</w:t>
      </w:r>
      <w:proofErr w:type="spellEnd"/>
      <w:r w:rsidRPr="00F061E0">
        <w:rPr>
          <w:rFonts w:cstheme="minorHAnsi"/>
          <w:color w:val="0000FF"/>
          <w:sz w:val="20"/>
        </w:rPr>
        <w:t xml:space="preserve"> </w:t>
      </w:r>
      <w:proofErr w:type="spellStart"/>
      <w:r w:rsidRPr="00F061E0">
        <w:rPr>
          <w:rFonts w:cstheme="minorHAnsi"/>
          <w:color w:val="0000FF"/>
          <w:sz w:val="20"/>
        </w:rPr>
        <w:t>Disease</w:t>
      </w:r>
      <w:proofErr w:type="spellEnd"/>
      <w:r w:rsidRPr="00F061E0">
        <w:rPr>
          <w:rFonts w:cstheme="minorHAnsi"/>
          <w:color w:val="0000FF"/>
          <w:sz w:val="20"/>
        </w:rPr>
        <w:t xml:space="preserve">. N Engl J </w:t>
      </w:r>
      <w:proofErr w:type="spellStart"/>
      <w:r w:rsidRPr="00F061E0">
        <w:rPr>
          <w:rFonts w:cstheme="minorHAnsi"/>
          <w:color w:val="0000FF"/>
          <w:sz w:val="20"/>
        </w:rPr>
        <w:t>Med</w:t>
      </w:r>
      <w:proofErr w:type="spellEnd"/>
      <w:r w:rsidRPr="00F061E0">
        <w:rPr>
          <w:rFonts w:cstheme="minorHAnsi"/>
          <w:color w:val="0000FF"/>
          <w:sz w:val="20"/>
        </w:rPr>
        <w:t xml:space="preserve">. 2022 </w:t>
      </w:r>
      <w:proofErr w:type="gramStart"/>
      <w:r w:rsidRPr="00F061E0">
        <w:rPr>
          <w:rFonts w:cstheme="minorHAnsi"/>
          <w:color w:val="0000FF"/>
          <w:sz w:val="20"/>
        </w:rPr>
        <w:t>Nov</w:t>
      </w:r>
      <w:proofErr w:type="gramEnd"/>
      <w:r w:rsidRPr="00F061E0">
        <w:rPr>
          <w:rFonts w:cstheme="minorHAnsi"/>
          <w:color w:val="0000FF"/>
          <w:sz w:val="20"/>
        </w:rPr>
        <w:t xml:space="preserve"> 4. </w:t>
      </w:r>
      <w:proofErr w:type="spellStart"/>
      <w:r w:rsidRPr="00F061E0">
        <w:rPr>
          <w:rFonts w:cstheme="minorHAnsi"/>
          <w:color w:val="0000FF"/>
          <w:sz w:val="20"/>
        </w:rPr>
        <w:t>doi</w:t>
      </w:r>
      <w:proofErr w:type="spellEnd"/>
      <w:r w:rsidRPr="00F061E0">
        <w:rPr>
          <w:rFonts w:cstheme="minorHAnsi"/>
          <w:color w:val="0000FF"/>
          <w:sz w:val="20"/>
        </w:rPr>
        <w:t>: 10.1056/NEJMoa2204233.</w:t>
      </w:r>
    </w:p>
    <w:p w14:paraId="6E6D2701" w14:textId="77777777" w:rsidR="00A60231" w:rsidRPr="00AF7FAF" w:rsidRDefault="00A60231" w:rsidP="00950F0F">
      <w:pPr>
        <w:pStyle w:val="Sinespaciado"/>
        <w:jc w:val="both"/>
        <w:rPr>
          <w:rFonts w:cstheme="minorHAnsi"/>
          <w:sz w:val="10"/>
          <w:szCs w:val="10"/>
        </w:rPr>
      </w:pPr>
    </w:p>
    <w:p w14:paraId="6C7E431A" w14:textId="45B3A8D4" w:rsidR="00F40E86" w:rsidRPr="00912428" w:rsidRDefault="00596116" w:rsidP="00064AC5">
      <w:pPr>
        <w:pStyle w:val="Sinespaciado"/>
        <w:pBdr>
          <w:top w:val="single" w:sz="4" w:space="1" w:color="auto"/>
          <w:left w:val="single" w:sz="4" w:space="4" w:color="auto"/>
          <w:bottom w:val="single" w:sz="4" w:space="1" w:color="auto"/>
          <w:right w:val="single" w:sz="4" w:space="4" w:color="auto"/>
        </w:pBdr>
        <w:jc w:val="both"/>
        <w:rPr>
          <w:sz w:val="18"/>
          <w:szCs w:val="18"/>
        </w:rPr>
      </w:pPr>
      <w:r w:rsidRPr="00912428">
        <w:rPr>
          <w:sz w:val="18"/>
          <w:u w:val="single"/>
        </w:rPr>
        <w:t>Abreviaturas</w:t>
      </w:r>
      <w:r w:rsidRPr="00912428">
        <w:rPr>
          <w:sz w:val="18"/>
        </w:rPr>
        <w:t xml:space="preserve">: </w:t>
      </w:r>
      <w:r w:rsidR="004D1095" w:rsidRPr="00912428">
        <w:rPr>
          <w:b/>
          <w:sz w:val="18"/>
        </w:rPr>
        <w:t xml:space="preserve">CV: </w:t>
      </w:r>
      <w:r w:rsidR="004D1095" w:rsidRPr="00912428">
        <w:rPr>
          <w:sz w:val="18"/>
        </w:rPr>
        <w:t>cardiovascular;</w:t>
      </w:r>
      <w:r w:rsidR="0006127F" w:rsidRPr="0006127F">
        <w:t xml:space="preserve"> </w:t>
      </w:r>
      <w:r w:rsidR="0006127F" w:rsidRPr="0006127F">
        <w:rPr>
          <w:b/>
          <w:sz w:val="18"/>
        </w:rPr>
        <w:t>DM2:</w:t>
      </w:r>
      <w:r w:rsidR="0006127F" w:rsidRPr="0006127F">
        <w:rPr>
          <w:sz w:val="18"/>
        </w:rPr>
        <w:t xml:space="preserve"> diabetes mellitus tipo 2; </w:t>
      </w:r>
      <w:r w:rsidR="0006127F" w:rsidRPr="0006127F">
        <w:rPr>
          <w:b/>
          <w:sz w:val="18"/>
        </w:rPr>
        <w:t>EA:</w:t>
      </w:r>
      <w:r w:rsidR="0006127F">
        <w:rPr>
          <w:sz w:val="18"/>
        </w:rPr>
        <w:t xml:space="preserve"> efecto/s adverso/s; </w:t>
      </w:r>
      <w:r w:rsidR="0006127F" w:rsidRPr="0006127F">
        <w:rPr>
          <w:b/>
          <w:sz w:val="18"/>
        </w:rPr>
        <w:t>ERC:</w:t>
      </w:r>
      <w:r w:rsidR="0006127F" w:rsidRPr="0006127F">
        <w:rPr>
          <w:sz w:val="18"/>
        </w:rPr>
        <w:t xml:space="preserve"> enfermedad renal crónica; </w:t>
      </w:r>
      <w:r w:rsidR="0006127F" w:rsidRPr="0006127F">
        <w:rPr>
          <w:b/>
          <w:sz w:val="18"/>
        </w:rPr>
        <w:t>ERT:</w:t>
      </w:r>
      <w:r w:rsidR="0006127F" w:rsidRPr="0006127F">
        <w:rPr>
          <w:sz w:val="18"/>
        </w:rPr>
        <w:t xml:space="preserve"> enfermedad renal en etapa terminal (diálisis de inicio o de mantenimiento o trasplante renal); </w:t>
      </w:r>
      <w:r w:rsidR="0006127F" w:rsidRPr="0006127F">
        <w:rPr>
          <w:b/>
          <w:sz w:val="18"/>
        </w:rPr>
        <w:t>FGe:</w:t>
      </w:r>
      <w:r w:rsidR="0006127F" w:rsidRPr="0006127F">
        <w:rPr>
          <w:sz w:val="18"/>
        </w:rPr>
        <w:t xml:space="preserve"> </w:t>
      </w:r>
      <w:r w:rsidR="00896EBD">
        <w:rPr>
          <w:sz w:val="18"/>
        </w:rPr>
        <w:t xml:space="preserve">tasa de </w:t>
      </w:r>
      <w:r w:rsidR="0006127F" w:rsidRPr="0006127F">
        <w:rPr>
          <w:sz w:val="18"/>
        </w:rPr>
        <w:t>filtración glomerular estimada, en ml/min/1,73 m</w:t>
      </w:r>
      <w:r w:rsidR="0006127F" w:rsidRPr="0006127F">
        <w:rPr>
          <w:sz w:val="18"/>
          <w:vertAlign w:val="superscript"/>
        </w:rPr>
        <w:t>2</w:t>
      </w:r>
      <w:r w:rsidR="0006127F" w:rsidRPr="0006127F">
        <w:rPr>
          <w:sz w:val="18"/>
        </w:rPr>
        <w:t xml:space="preserve"> de superficie corporal;</w:t>
      </w:r>
      <w:r w:rsidR="0006127F">
        <w:rPr>
          <w:sz w:val="18"/>
        </w:rPr>
        <w:t xml:space="preserve"> </w:t>
      </w:r>
      <w:r w:rsidR="0006127F" w:rsidRPr="00912428">
        <w:rPr>
          <w:b/>
          <w:sz w:val="18"/>
        </w:rPr>
        <w:t>HR:</w:t>
      </w:r>
      <w:r w:rsidR="0006127F" w:rsidRPr="00912428">
        <w:rPr>
          <w:sz w:val="18"/>
        </w:rPr>
        <w:t xml:space="preserve"> </w:t>
      </w:r>
      <w:proofErr w:type="spellStart"/>
      <w:r w:rsidR="0006127F" w:rsidRPr="00912428">
        <w:rPr>
          <w:sz w:val="18"/>
        </w:rPr>
        <w:t>hazard</w:t>
      </w:r>
      <w:proofErr w:type="spellEnd"/>
      <w:r w:rsidR="0006127F" w:rsidRPr="00912428">
        <w:rPr>
          <w:sz w:val="18"/>
        </w:rPr>
        <w:t xml:space="preserve"> ratio; </w:t>
      </w:r>
      <w:r w:rsidR="0006127F" w:rsidRPr="0006127F">
        <w:rPr>
          <w:sz w:val="18"/>
        </w:rPr>
        <w:t xml:space="preserve"> </w:t>
      </w:r>
      <w:r w:rsidR="0006127F" w:rsidRPr="00AF7FAF">
        <w:rPr>
          <w:b/>
          <w:sz w:val="18"/>
        </w:rPr>
        <w:t>IC:</w:t>
      </w:r>
      <w:r w:rsidR="0006127F" w:rsidRPr="0006127F">
        <w:rPr>
          <w:sz w:val="18"/>
        </w:rPr>
        <w:t xml:space="preserve"> intervalo de confianza; </w:t>
      </w:r>
      <w:r w:rsidR="0006127F" w:rsidRPr="00896EBD">
        <w:rPr>
          <w:b/>
          <w:sz w:val="18"/>
        </w:rPr>
        <w:t>ml/min:</w:t>
      </w:r>
      <w:r w:rsidR="0006127F" w:rsidRPr="0006127F">
        <w:rPr>
          <w:sz w:val="18"/>
        </w:rPr>
        <w:t xml:space="preserve"> mililitros por minuto; </w:t>
      </w:r>
      <w:r w:rsidR="0006127F" w:rsidRPr="00896EBD">
        <w:rPr>
          <w:b/>
          <w:sz w:val="18"/>
        </w:rPr>
        <w:t>Mort:</w:t>
      </w:r>
      <w:r w:rsidR="0006127F" w:rsidRPr="0006127F">
        <w:rPr>
          <w:sz w:val="18"/>
        </w:rPr>
        <w:t xml:space="preserve"> mortalidad por cualquier causa; </w:t>
      </w:r>
      <w:r w:rsidR="0006127F" w:rsidRPr="00896EBD">
        <w:rPr>
          <w:b/>
          <w:sz w:val="18"/>
        </w:rPr>
        <w:t>Mort CV:</w:t>
      </w:r>
      <w:r w:rsidR="0006127F" w:rsidRPr="0006127F">
        <w:rPr>
          <w:sz w:val="18"/>
        </w:rPr>
        <w:t xml:space="preserve"> Mortalidad por causa cardiovascular; </w:t>
      </w:r>
      <w:r w:rsidR="0006127F" w:rsidRPr="00896EBD">
        <w:rPr>
          <w:b/>
          <w:sz w:val="18"/>
        </w:rPr>
        <w:t>NNT:</w:t>
      </w:r>
      <w:r w:rsidR="0006127F" w:rsidRPr="0006127F">
        <w:rPr>
          <w:sz w:val="18"/>
        </w:rPr>
        <w:t xml:space="preserve"> número necesario a tratar para proteger a 1 paciente más que sin tratar; </w:t>
      </w:r>
      <w:r w:rsidR="0006127F" w:rsidRPr="00E74F9D">
        <w:rPr>
          <w:b/>
          <w:sz w:val="18"/>
        </w:rPr>
        <w:t>RAR:</w:t>
      </w:r>
      <w:r w:rsidR="0006127F" w:rsidRPr="0006127F">
        <w:rPr>
          <w:sz w:val="18"/>
        </w:rPr>
        <w:t xml:space="preserve"> reducción absoluta del riesgo; RR: riesgo relativo (obtenido por incidencias acumuladas).</w:t>
      </w:r>
      <w:r w:rsidR="0006127F">
        <w:rPr>
          <w:sz w:val="18"/>
        </w:rPr>
        <w:t xml:space="preserve"> </w:t>
      </w:r>
      <w:r w:rsidR="004D1095" w:rsidRPr="00912428">
        <w:rPr>
          <w:sz w:val="18"/>
        </w:rPr>
        <w:t xml:space="preserve"> </w:t>
      </w:r>
      <w:r w:rsidR="00193DC6" w:rsidRPr="00912428">
        <w:rPr>
          <w:b/>
          <w:sz w:val="18"/>
          <w:szCs w:val="18"/>
        </w:rPr>
        <w:t>SGLT</w:t>
      </w:r>
      <w:r w:rsidR="00847A3C" w:rsidRPr="00912428">
        <w:rPr>
          <w:b/>
          <w:sz w:val="18"/>
          <w:szCs w:val="18"/>
        </w:rPr>
        <w:t>-</w:t>
      </w:r>
      <w:r w:rsidR="00193DC6" w:rsidRPr="00912428">
        <w:rPr>
          <w:b/>
          <w:sz w:val="18"/>
          <w:szCs w:val="18"/>
        </w:rPr>
        <w:t xml:space="preserve">2: </w:t>
      </w:r>
      <w:r w:rsidR="00193DC6" w:rsidRPr="00912428">
        <w:rPr>
          <w:sz w:val="18"/>
          <w:szCs w:val="18"/>
        </w:rPr>
        <w:t xml:space="preserve">receptor del cotransportador de sodio-glucosa tipo 2; </w:t>
      </w:r>
      <w:r w:rsidR="00F40E86" w:rsidRPr="00912428">
        <w:rPr>
          <w:b/>
          <w:sz w:val="18"/>
          <w:szCs w:val="18"/>
        </w:rPr>
        <w:t>tSLEv:</w:t>
      </w:r>
      <w:r w:rsidR="00F40E86" w:rsidRPr="00912428">
        <w:rPr>
          <w:sz w:val="18"/>
          <w:szCs w:val="18"/>
        </w:rPr>
        <w:t xml:space="preserve"> tiempo medio de supervivencia libre de</w:t>
      </w:r>
      <w:r w:rsidR="00912428">
        <w:rPr>
          <w:sz w:val="18"/>
          <w:szCs w:val="18"/>
        </w:rPr>
        <w:t>l evento que se está midiendo</w:t>
      </w:r>
      <w:r w:rsidR="00F40E86" w:rsidRPr="00912428">
        <w:rPr>
          <w:sz w:val="18"/>
          <w:szCs w:val="18"/>
        </w:rPr>
        <w:t xml:space="preserve">; </w:t>
      </w:r>
      <w:r w:rsidR="00F40E86" w:rsidRPr="00912428">
        <w:rPr>
          <w:b/>
          <w:sz w:val="18"/>
          <w:szCs w:val="18"/>
        </w:rPr>
        <w:t>PtSLEv:</w:t>
      </w:r>
      <w:r w:rsidR="00F40E86" w:rsidRPr="00912428">
        <w:rPr>
          <w:sz w:val="18"/>
          <w:szCs w:val="18"/>
        </w:rPr>
        <w:t xml:space="preserve"> prolongación del tiempo medio de supervivencia libre de</w:t>
      </w:r>
      <w:r w:rsidR="00912428">
        <w:rPr>
          <w:sz w:val="18"/>
          <w:szCs w:val="18"/>
        </w:rPr>
        <w:t>l</w:t>
      </w:r>
      <w:r w:rsidR="00F40E86" w:rsidRPr="00912428">
        <w:rPr>
          <w:sz w:val="18"/>
          <w:szCs w:val="18"/>
        </w:rPr>
        <w:t xml:space="preserve"> evento</w:t>
      </w:r>
      <w:r w:rsidR="00912428">
        <w:rPr>
          <w:sz w:val="18"/>
          <w:szCs w:val="18"/>
        </w:rPr>
        <w:t xml:space="preserve"> que se está midiendo</w:t>
      </w:r>
      <w:r w:rsidR="00847A3C" w:rsidRPr="00912428">
        <w:rPr>
          <w:sz w:val="18"/>
          <w:szCs w:val="18"/>
        </w:rPr>
        <w:t xml:space="preserve">; </w:t>
      </w:r>
      <w:r w:rsidR="00847A3C" w:rsidRPr="00912428">
        <w:rPr>
          <w:b/>
          <w:bCs/>
          <w:sz w:val="18"/>
          <w:szCs w:val="18"/>
        </w:rPr>
        <w:t>3tB:</w:t>
      </w:r>
      <w:r w:rsidR="00847A3C" w:rsidRPr="00912428">
        <w:rPr>
          <w:sz w:val="18"/>
          <w:szCs w:val="18"/>
        </w:rPr>
        <w:t xml:space="preserve"> los 3 tiempos biográficos; </w:t>
      </w:r>
      <w:r w:rsidR="00847A3C" w:rsidRPr="00912428">
        <w:rPr>
          <w:b/>
          <w:bCs/>
          <w:sz w:val="18"/>
          <w:szCs w:val="18"/>
        </w:rPr>
        <w:t>3dNNT:</w:t>
      </w:r>
      <w:r w:rsidR="00847A3C" w:rsidRPr="00912428">
        <w:rPr>
          <w:sz w:val="18"/>
          <w:szCs w:val="18"/>
        </w:rPr>
        <w:t xml:space="preserve"> los 3 destinos del NNT.</w:t>
      </w:r>
    </w:p>
    <w:p w14:paraId="42E13275" w14:textId="77777777" w:rsidR="00062A26" w:rsidRPr="00912428" w:rsidRDefault="00062A26" w:rsidP="00D73ED0">
      <w:pPr>
        <w:pStyle w:val="Sinespaciado"/>
        <w:pBdr>
          <w:top w:val="single" w:sz="4" w:space="1" w:color="auto"/>
          <w:left w:val="single" w:sz="4" w:space="4" w:color="auto"/>
          <w:bottom w:val="single" w:sz="4" w:space="1" w:color="auto"/>
          <w:right w:val="single" w:sz="4" w:space="4" w:color="auto"/>
        </w:pBdr>
        <w:jc w:val="both"/>
        <w:rPr>
          <w:b/>
          <w:sz w:val="8"/>
          <w:szCs w:val="8"/>
        </w:rPr>
      </w:pPr>
    </w:p>
    <w:p w14:paraId="54598FA4" w14:textId="74774672" w:rsidR="00303D00" w:rsidRPr="00912428" w:rsidRDefault="00303D00" w:rsidP="00D73ED0">
      <w:pPr>
        <w:pStyle w:val="Sinespaciado"/>
        <w:pBdr>
          <w:top w:val="single" w:sz="4" w:space="1" w:color="auto"/>
          <w:left w:val="single" w:sz="4" w:space="4" w:color="auto"/>
          <w:bottom w:val="single" w:sz="4" w:space="1" w:color="auto"/>
          <w:right w:val="single" w:sz="4" w:space="4" w:color="auto"/>
        </w:pBdr>
        <w:jc w:val="both"/>
        <w:rPr>
          <w:sz w:val="18"/>
        </w:rPr>
      </w:pPr>
      <w:r w:rsidRPr="00912428">
        <w:rPr>
          <w:b/>
          <w:sz w:val="18"/>
        </w:rPr>
        <w:t xml:space="preserve">NOTA: </w:t>
      </w:r>
      <w:r w:rsidRPr="00912428">
        <w:rPr>
          <w:sz w:val="18"/>
        </w:rPr>
        <w:t xml:space="preserve">Todos los intervalos de confianza </w:t>
      </w:r>
      <w:r w:rsidR="003D4FF4" w:rsidRPr="00912428">
        <w:rPr>
          <w:sz w:val="18"/>
        </w:rPr>
        <w:t xml:space="preserve">(IC) </w:t>
      </w:r>
      <w:r w:rsidRPr="00912428">
        <w:rPr>
          <w:sz w:val="18"/>
        </w:rPr>
        <w:t>que mostramos entre paréntesis están calculados para un nivel de confianza del 95</w:t>
      </w:r>
      <w:r w:rsidR="00847A3C" w:rsidRPr="00912428">
        <w:rPr>
          <w:sz w:val="18"/>
        </w:rPr>
        <w:t>%</w:t>
      </w:r>
      <w:r w:rsidRPr="00912428">
        <w:rPr>
          <w:sz w:val="18"/>
        </w:rPr>
        <w:t>.</w:t>
      </w:r>
      <w:r w:rsidR="00683E32" w:rsidRPr="00912428">
        <w:rPr>
          <w:sz w:val="18"/>
        </w:rPr>
        <w:t xml:space="preserve"> Por ejemplo, </w:t>
      </w:r>
      <w:r w:rsidR="003D4FF4" w:rsidRPr="00912428">
        <w:rPr>
          <w:sz w:val="18"/>
        </w:rPr>
        <w:t xml:space="preserve">si expresamos </w:t>
      </w:r>
      <w:r w:rsidR="00AF7FAF">
        <w:rPr>
          <w:sz w:val="18"/>
        </w:rPr>
        <w:t xml:space="preserve">RR </w:t>
      </w:r>
      <w:r w:rsidR="00747E22" w:rsidRPr="00912428">
        <w:rPr>
          <w:sz w:val="18"/>
        </w:rPr>
        <w:t>0,69 (0,59-0,81)</w:t>
      </w:r>
      <w:r w:rsidR="003D4FF4" w:rsidRPr="00912428">
        <w:rPr>
          <w:sz w:val="18"/>
        </w:rPr>
        <w:t>, qu</w:t>
      </w:r>
      <w:r w:rsidR="00AF7FAF">
        <w:rPr>
          <w:sz w:val="18"/>
        </w:rPr>
        <w:t>eremos</w:t>
      </w:r>
      <w:r w:rsidR="003D4FF4" w:rsidRPr="00912428">
        <w:rPr>
          <w:sz w:val="18"/>
        </w:rPr>
        <w:t xml:space="preserve"> decir </w:t>
      </w:r>
      <w:r w:rsidR="00AF7FAF">
        <w:rPr>
          <w:sz w:val="18"/>
        </w:rPr>
        <w:t>RR</w:t>
      </w:r>
      <w:r w:rsidR="003D4FF4" w:rsidRPr="00912428">
        <w:rPr>
          <w:sz w:val="18"/>
        </w:rPr>
        <w:t xml:space="preserve"> 0,</w:t>
      </w:r>
      <w:r w:rsidR="00747E22" w:rsidRPr="00912428">
        <w:rPr>
          <w:sz w:val="18"/>
        </w:rPr>
        <w:t>6</w:t>
      </w:r>
      <w:r w:rsidR="003D4FF4" w:rsidRPr="00912428">
        <w:rPr>
          <w:sz w:val="18"/>
        </w:rPr>
        <w:t>9 (</w:t>
      </w:r>
      <w:r w:rsidR="003D4FF4" w:rsidRPr="00912428">
        <w:rPr>
          <w:b/>
          <w:sz w:val="18"/>
        </w:rPr>
        <w:t>IC 95%</w:t>
      </w:r>
      <w:r w:rsidR="003D4FF4" w:rsidRPr="00912428">
        <w:rPr>
          <w:sz w:val="18"/>
        </w:rPr>
        <w:t>, 0,</w:t>
      </w:r>
      <w:r w:rsidR="00747E22" w:rsidRPr="00912428">
        <w:rPr>
          <w:sz w:val="18"/>
        </w:rPr>
        <w:t>59-0,81</w:t>
      </w:r>
      <w:r w:rsidR="003D4FF4" w:rsidRPr="00912428">
        <w:rPr>
          <w:sz w:val="18"/>
        </w:rPr>
        <w:t>).</w:t>
      </w:r>
    </w:p>
    <w:p w14:paraId="0AE857F4" w14:textId="77777777" w:rsidR="00596116" w:rsidRPr="00A60231" w:rsidRDefault="00596116" w:rsidP="00950F0F">
      <w:pPr>
        <w:pStyle w:val="Sinespaciado"/>
        <w:jc w:val="both"/>
        <w:rPr>
          <w:rFonts w:cstheme="minorHAnsi"/>
        </w:rPr>
      </w:pPr>
    </w:p>
    <w:p w14:paraId="1F0A8B58" w14:textId="2ED58DFC" w:rsidR="00BF52FF" w:rsidRDefault="00A60231" w:rsidP="00BF52FF">
      <w:pPr>
        <w:pStyle w:val="Sinespaciado"/>
        <w:jc w:val="both"/>
        <w:rPr>
          <w:bCs/>
        </w:rPr>
      </w:pPr>
      <w:r w:rsidRPr="00AD0B7D">
        <w:rPr>
          <w:b/>
          <w:bCs/>
          <w:color w:val="0000FF"/>
        </w:rPr>
        <w:t>INTRODUCCIÓN:</w:t>
      </w:r>
      <w:r w:rsidRPr="005518D1">
        <w:rPr>
          <w:bCs/>
        </w:rPr>
        <w:t xml:space="preserve"> </w:t>
      </w:r>
      <w:bookmarkStart w:id="0" w:name="_Hlk86395567"/>
      <w:r w:rsidR="00C969F6">
        <w:rPr>
          <w:bCs/>
        </w:rPr>
        <w:t>Los ensayos clínicos CREDENCE, DAPA-CKD y SCORED se publicaron entre 2020 y 2021 para averiguar el balance de beneficios y daños que cana</w:t>
      </w:r>
      <w:r w:rsidR="00D147E9">
        <w:rPr>
          <w:bCs/>
        </w:rPr>
        <w:t>gliflo</w:t>
      </w:r>
      <w:r w:rsidR="00C969F6">
        <w:rPr>
          <w:bCs/>
        </w:rPr>
        <w:t xml:space="preserve">zina, </w:t>
      </w:r>
      <w:r w:rsidR="00EB1E44">
        <w:rPr>
          <w:bCs/>
        </w:rPr>
        <w:t>dapa</w:t>
      </w:r>
      <w:r w:rsidR="00D147E9">
        <w:rPr>
          <w:bCs/>
        </w:rPr>
        <w:t>gliflo</w:t>
      </w:r>
      <w:r w:rsidR="00C969F6">
        <w:rPr>
          <w:bCs/>
        </w:rPr>
        <w:t>zina y sota</w:t>
      </w:r>
      <w:r w:rsidR="00D147E9">
        <w:rPr>
          <w:bCs/>
        </w:rPr>
        <w:t>gliflo</w:t>
      </w:r>
      <w:r w:rsidR="00C969F6">
        <w:rPr>
          <w:bCs/>
        </w:rPr>
        <w:t>zina</w:t>
      </w:r>
      <w:r w:rsidR="00BF52FF">
        <w:rPr>
          <w:bCs/>
        </w:rPr>
        <w:t>,</w:t>
      </w:r>
      <w:r w:rsidR="00C969F6">
        <w:rPr>
          <w:bCs/>
        </w:rPr>
        <w:t xml:space="preserve"> </w:t>
      </w:r>
      <w:r w:rsidR="00BF52FF">
        <w:rPr>
          <w:bCs/>
        </w:rPr>
        <w:t xml:space="preserve">respectivamente, </w:t>
      </w:r>
      <w:r w:rsidR="00C969F6">
        <w:rPr>
          <w:bCs/>
        </w:rPr>
        <w:t>mostraban</w:t>
      </w:r>
      <w:r w:rsidR="00BF52FF">
        <w:rPr>
          <w:bCs/>
        </w:rPr>
        <w:t xml:space="preserve"> </w:t>
      </w:r>
      <w:r w:rsidR="00C969F6">
        <w:rPr>
          <w:bCs/>
        </w:rPr>
        <w:t xml:space="preserve">sobre </w:t>
      </w:r>
      <w:r w:rsidR="00BF52FF">
        <w:rPr>
          <w:bCs/>
        </w:rPr>
        <w:t>la</w:t>
      </w:r>
      <w:r w:rsidR="00C969F6">
        <w:rPr>
          <w:bCs/>
        </w:rPr>
        <w:t xml:space="preserve"> </w:t>
      </w:r>
      <w:proofErr w:type="spellStart"/>
      <w:r w:rsidR="00C969F6">
        <w:rPr>
          <w:bCs/>
        </w:rPr>
        <w:t>morbi</w:t>
      </w:r>
      <w:proofErr w:type="spellEnd"/>
      <w:r w:rsidR="00C969F6">
        <w:rPr>
          <w:bCs/>
        </w:rPr>
        <w:t>-mortalidad renal en pacientes con enfermedad renal crónica</w:t>
      </w:r>
      <w:r w:rsidR="002E204B">
        <w:rPr>
          <w:bCs/>
        </w:rPr>
        <w:t xml:space="preserve"> (los cuales </w:t>
      </w:r>
      <w:r w:rsidR="00BF52FF">
        <w:rPr>
          <w:bCs/>
        </w:rPr>
        <w:t>comparten entre sus mecanismos de acción la inhibición del receptor del cotransportador sodio-glucosa tipo 2</w:t>
      </w:r>
      <w:r w:rsidR="002E204B">
        <w:rPr>
          <w:bCs/>
        </w:rPr>
        <w:t xml:space="preserve">, </w:t>
      </w:r>
      <w:r w:rsidR="00BF52FF">
        <w:rPr>
          <w:bCs/>
        </w:rPr>
        <w:t>SGLT-2).</w:t>
      </w:r>
      <w:r w:rsidR="00F061E0">
        <w:rPr>
          <w:bCs/>
        </w:rPr>
        <w:t xml:space="preserve"> </w:t>
      </w:r>
      <w:r w:rsidR="008740E0">
        <w:rPr>
          <w:bCs/>
        </w:rPr>
        <w:t>Antes de esas fechas l</w:t>
      </w:r>
      <w:r w:rsidR="00F061E0">
        <w:rPr>
          <w:bCs/>
        </w:rPr>
        <w:t xml:space="preserve">os fármacos consolidados mediante ensayos clínicos para esta agrupación de pacientes eran </w:t>
      </w:r>
      <w:r w:rsidR="00DF30E1">
        <w:rPr>
          <w:bCs/>
        </w:rPr>
        <w:t>IECA, ARA-II e inhibidores de la aldosterona.</w:t>
      </w:r>
    </w:p>
    <w:p w14:paraId="22B93438" w14:textId="0229C892" w:rsidR="00BF52FF" w:rsidRDefault="00BF52FF" w:rsidP="00BF52FF">
      <w:pPr>
        <w:pStyle w:val="Sinespaciado"/>
        <w:jc w:val="both"/>
        <w:rPr>
          <w:bCs/>
        </w:rPr>
      </w:pPr>
      <w:r>
        <w:rPr>
          <w:bCs/>
        </w:rPr>
        <w:tab/>
        <w:t>El ensayo EMPA-KIDNEY se ha diseñado y llevado a cabo para averiguar</w:t>
      </w:r>
      <w:r w:rsidR="00F061E0">
        <w:rPr>
          <w:bCs/>
        </w:rPr>
        <w:t xml:space="preserve"> si</w:t>
      </w:r>
      <w:r>
        <w:rPr>
          <w:bCs/>
        </w:rPr>
        <w:t xml:space="preserve"> empa</w:t>
      </w:r>
      <w:r w:rsidR="00D147E9">
        <w:rPr>
          <w:bCs/>
        </w:rPr>
        <w:t>gliflo</w:t>
      </w:r>
      <w:r>
        <w:rPr>
          <w:bCs/>
        </w:rPr>
        <w:t>zina (otro inhibidor de SGLT-2)</w:t>
      </w:r>
      <w:r w:rsidR="00F061E0">
        <w:rPr>
          <w:bCs/>
        </w:rPr>
        <w:t xml:space="preserve"> ofrece un balance de beneficios y daños análogos en estos pacientes. </w:t>
      </w:r>
    </w:p>
    <w:bookmarkEnd w:id="0"/>
    <w:p w14:paraId="1F8C4EC8" w14:textId="3219B2E8" w:rsidR="009D2983" w:rsidRPr="00F061E0" w:rsidRDefault="009D2983" w:rsidP="000B3FA3">
      <w:pPr>
        <w:pStyle w:val="Sinespaciado"/>
        <w:jc w:val="both"/>
        <w:rPr>
          <w:bCs/>
        </w:rPr>
      </w:pPr>
    </w:p>
    <w:p w14:paraId="64B7025B" w14:textId="71E96BDC" w:rsidR="00A60231" w:rsidRDefault="00A60231" w:rsidP="00493472">
      <w:pPr>
        <w:pStyle w:val="Sinespaciado"/>
        <w:jc w:val="both"/>
      </w:pPr>
      <w:r w:rsidRPr="00AD0B7D">
        <w:rPr>
          <w:b/>
          <w:bCs/>
          <w:color w:val="0000FF"/>
        </w:rPr>
        <w:t xml:space="preserve">OBJETIVO: </w:t>
      </w:r>
      <w:r w:rsidR="00FF590D" w:rsidRPr="00B049AB">
        <w:rPr>
          <w:highlight w:val="yellow"/>
        </w:rPr>
        <w:t>….</w:t>
      </w:r>
    </w:p>
    <w:p w14:paraId="22DBBED9" w14:textId="77777777" w:rsidR="00FF590D" w:rsidRPr="00493472" w:rsidRDefault="00FF590D" w:rsidP="00493472">
      <w:pPr>
        <w:pStyle w:val="Sinespaciado"/>
        <w:jc w:val="both"/>
      </w:pPr>
    </w:p>
    <w:p w14:paraId="5BE243A2" w14:textId="77777777" w:rsidR="00A94D1A" w:rsidRDefault="00A94D1A" w:rsidP="00A60231">
      <w:pPr>
        <w:pStyle w:val="Sinespaciado"/>
        <w:jc w:val="both"/>
      </w:pPr>
    </w:p>
    <w:p w14:paraId="1249913F" w14:textId="77777777" w:rsidR="000F3A19" w:rsidRPr="00B049AB" w:rsidRDefault="00A60231" w:rsidP="00A60231">
      <w:pPr>
        <w:pStyle w:val="Sinespaciado"/>
        <w:jc w:val="both"/>
        <w:rPr>
          <w:b/>
          <w:color w:val="000000" w:themeColor="text1"/>
        </w:rPr>
      </w:pPr>
      <w:r w:rsidRPr="00AD0B7D">
        <w:rPr>
          <w:b/>
          <w:bCs/>
          <w:color w:val="0000FF"/>
        </w:rPr>
        <w:t xml:space="preserve">MÉTODOS: </w:t>
      </w:r>
      <w:r w:rsidR="005518D1">
        <w:t>Ensayo clínico controlado aleatorizado</w:t>
      </w:r>
      <w:r w:rsidR="0062125C">
        <w:t xml:space="preserve"> y multicéntrico</w:t>
      </w:r>
      <w:r w:rsidR="000E66DA">
        <w:t>.</w:t>
      </w:r>
      <w:r w:rsidR="00E10E21">
        <w:t xml:space="preserve"> </w:t>
      </w:r>
      <w:r w:rsidR="005518D1">
        <w:t>La</w:t>
      </w:r>
      <w:r w:rsidR="00CF6279">
        <w:t>s</w:t>
      </w:r>
      <w:r w:rsidR="005518D1">
        <w:t xml:space="preserve"> variable</w:t>
      </w:r>
      <w:r w:rsidR="00CF6279">
        <w:t xml:space="preserve">s </w:t>
      </w:r>
      <w:r w:rsidR="00DC552F">
        <w:t xml:space="preserve">de beneficios y </w:t>
      </w:r>
      <w:r w:rsidR="00DC552F" w:rsidRPr="00B049AB">
        <w:rPr>
          <w:color w:val="000000" w:themeColor="text1"/>
        </w:rPr>
        <w:t>daños añadidos se muestran</w:t>
      </w:r>
      <w:r w:rsidR="000F3A19" w:rsidRPr="00B049AB">
        <w:rPr>
          <w:color w:val="000000" w:themeColor="text1"/>
        </w:rPr>
        <w:t xml:space="preserve"> en la</w:t>
      </w:r>
      <w:r w:rsidR="00365ED3" w:rsidRPr="00B049AB">
        <w:rPr>
          <w:color w:val="000000" w:themeColor="text1"/>
        </w:rPr>
        <w:t>s</w:t>
      </w:r>
      <w:r w:rsidR="000F3A19" w:rsidRPr="00B049AB">
        <w:rPr>
          <w:color w:val="000000" w:themeColor="text1"/>
        </w:rPr>
        <w:t xml:space="preserve"> </w:t>
      </w:r>
      <w:r w:rsidR="00BD5256" w:rsidRPr="00B049AB">
        <w:rPr>
          <w:b/>
          <w:color w:val="000000" w:themeColor="text1"/>
        </w:rPr>
        <w:t>t</w:t>
      </w:r>
      <w:r w:rsidR="000F3A19" w:rsidRPr="00B049AB">
        <w:rPr>
          <w:b/>
          <w:color w:val="000000" w:themeColor="text1"/>
        </w:rPr>
        <w:t>abla</w:t>
      </w:r>
      <w:r w:rsidR="00365ED3" w:rsidRPr="00B049AB">
        <w:rPr>
          <w:b/>
          <w:color w:val="000000" w:themeColor="text1"/>
        </w:rPr>
        <w:t>s</w:t>
      </w:r>
      <w:r w:rsidR="000F3A19" w:rsidRPr="00B049AB">
        <w:rPr>
          <w:b/>
          <w:color w:val="000000" w:themeColor="text1"/>
        </w:rPr>
        <w:t xml:space="preserve"> </w:t>
      </w:r>
      <w:r w:rsidR="00752E88" w:rsidRPr="00B049AB">
        <w:rPr>
          <w:b/>
          <w:color w:val="000000" w:themeColor="text1"/>
        </w:rPr>
        <w:t>nnt-</w:t>
      </w:r>
      <w:r w:rsidR="000F3A19" w:rsidRPr="00B049AB">
        <w:rPr>
          <w:b/>
          <w:color w:val="000000" w:themeColor="text1"/>
        </w:rPr>
        <w:t>1</w:t>
      </w:r>
      <w:r w:rsidR="00752E88" w:rsidRPr="00B049AB">
        <w:rPr>
          <w:b/>
          <w:color w:val="000000" w:themeColor="text1"/>
        </w:rPr>
        <w:t xml:space="preserve"> y nnt-</w:t>
      </w:r>
      <w:r w:rsidR="001A1EDA" w:rsidRPr="00B049AB">
        <w:rPr>
          <w:b/>
          <w:color w:val="000000" w:themeColor="text1"/>
        </w:rPr>
        <w:t>2</w:t>
      </w:r>
      <w:r w:rsidR="000F3A19" w:rsidRPr="00B049AB">
        <w:rPr>
          <w:color w:val="000000" w:themeColor="text1"/>
        </w:rPr>
        <w:t>.</w:t>
      </w:r>
    </w:p>
    <w:p w14:paraId="2B55C6E0" w14:textId="77777777" w:rsidR="005518D1" w:rsidRPr="00A60231" w:rsidRDefault="005518D1" w:rsidP="00A60231">
      <w:pPr>
        <w:pStyle w:val="Sinespaciado"/>
        <w:jc w:val="both"/>
      </w:pPr>
    </w:p>
    <w:p w14:paraId="1C8068F6" w14:textId="185FD0AF" w:rsidR="00FE3221" w:rsidRDefault="00BB4197" w:rsidP="00A31F13">
      <w:pPr>
        <w:pStyle w:val="Sinespaciado"/>
        <w:jc w:val="both"/>
      </w:pPr>
      <w:r w:rsidRPr="00AD0B7D">
        <w:rPr>
          <w:b/>
          <w:bCs/>
          <w:color w:val="0000FF"/>
        </w:rPr>
        <w:t>RESULTADOS:</w:t>
      </w:r>
      <w:r>
        <w:rPr>
          <w:b/>
          <w:bCs/>
        </w:rPr>
        <w:t xml:space="preserve"> </w:t>
      </w:r>
      <w:r w:rsidR="00377C82">
        <w:t xml:space="preserve">Se </w:t>
      </w:r>
      <w:r w:rsidR="00B65BB4">
        <w:t>evaluaron</w:t>
      </w:r>
      <w:r w:rsidR="00612537">
        <w:t xml:space="preserve"> </w:t>
      </w:r>
      <w:r w:rsidR="002043A6">
        <w:t xml:space="preserve">los </w:t>
      </w:r>
      <w:r w:rsidR="00377C82">
        <w:t>3</w:t>
      </w:r>
      <w:r w:rsidR="00EB1E44">
        <w:t>304</w:t>
      </w:r>
      <w:r w:rsidR="003E6E17">
        <w:t xml:space="preserve"> </w:t>
      </w:r>
      <w:r w:rsidR="00F14C09">
        <w:t xml:space="preserve">asignados </w:t>
      </w:r>
      <w:r w:rsidR="002043A6">
        <w:t xml:space="preserve">a </w:t>
      </w:r>
      <w:r w:rsidR="00EB1E44">
        <w:t>empa</w:t>
      </w:r>
      <w:r w:rsidR="00D147E9">
        <w:t>gliflo</w:t>
      </w:r>
      <w:r w:rsidR="002043A6">
        <w:t xml:space="preserve">zina y </w:t>
      </w:r>
      <w:r w:rsidR="00EB1E44">
        <w:t>3305</w:t>
      </w:r>
      <w:r w:rsidR="00704904" w:rsidRPr="002043A6">
        <w:t xml:space="preserve"> </w:t>
      </w:r>
      <w:r w:rsidR="00704904">
        <w:t xml:space="preserve">asignados a </w:t>
      </w:r>
      <w:r w:rsidR="002043A6">
        <w:t>placebo,</w:t>
      </w:r>
      <w:r w:rsidR="00377C82">
        <w:t xml:space="preserve"> que f</w:t>
      </w:r>
      <w:r w:rsidR="00470C25">
        <w:t xml:space="preserve">ueron seguidos </w:t>
      </w:r>
      <w:r w:rsidR="00A60231" w:rsidRPr="00A60231">
        <w:t>durante</w:t>
      </w:r>
      <w:r w:rsidR="00A60231">
        <w:t xml:space="preserve"> </w:t>
      </w:r>
      <w:r w:rsidR="00A60231" w:rsidRPr="00A60231">
        <w:t>una</w:t>
      </w:r>
      <w:r w:rsidR="00A60231">
        <w:t xml:space="preserve"> </w:t>
      </w:r>
      <w:r w:rsidR="00A84819">
        <w:t>media</w:t>
      </w:r>
      <w:r w:rsidR="00F0347E">
        <w:t xml:space="preserve"> </w:t>
      </w:r>
      <w:r w:rsidR="00A60231" w:rsidRPr="00A60231">
        <w:t>de</w:t>
      </w:r>
      <w:r w:rsidR="00377C82">
        <w:t xml:space="preserve"> </w:t>
      </w:r>
      <w:r w:rsidR="00EB1E44">
        <w:t>24</w:t>
      </w:r>
      <w:r w:rsidR="00377C82" w:rsidRPr="00377C82">
        <w:t xml:space="preserve"> meses</w:t>
      </w:r>
      <w:r w:rsidR="00377C82">
        <w:t>.</w:t>
      </w:r>
    </w:p>
    <w:p w14:paraId="3DE33191" w14:textId="026D14DD" w:rsidR="002359D1" w:rsidRPr="00B049AB" w:rsidRDefault="00016248" w:rsidP="002359D1">
      <w:pPr>
        <w:pStyle w:val="Sinespaciado"/>
        <w:ind w:firstLine="708"/>
        <w:jc w:val="both"/>
        <w:rPr>
          <w:color w:val="000000" w:themeColor="text1"/>
        </w:rPr>
      </w:pPr>
      <w:bookmarkStart w:id="1" w:name="_Hlk118278420"/>
      <w:r w:rsidRPr="00016248">
        <w:t xml:space="preserve">De los 10 factores clínicos y 1 sociodemográfico que midieron los investigadores en el </w:t>
      </w:r>
      <w:r w:rsidRPr="00B049AB">
        <w:rPr>
          <w:color w:val="000000" w:themeColor="text1"/>
        </w:rPr>
        <w:t xml:space="preserve">inicio (baseline) con este tamaño de muestra, sólo se encontró diferencia estadísticamente significativa entre el 0,4% y 1% con DM1, y entre el 41,2% y 44% con Diuréticos, pero que nosotros estimamos sin relevancia clínica diferencial, </w:t>
      </w:r>
      <w:r w:rsidR="002359D1" w:rsidRPr="00B049AB">
        <w:rPr>
          <w:color w:val="000000" w:themeColor="text1"/>
        </w:rPr>
        <w:t xml:space="preserve">tal como mostramos en el </w:t>
      </w:r>
      <w:r w:rsidR="002359D1" w:rsidRPr="00B049AB">
        <w:rPr>
          <w:b/>
          <w:color w:val="000000" w:themeColor="text1"/>
        </w:rPr>
        <w:t>suplemento 1</w:t>
      </w:r>
      <w:r w:rsidR="002359D1" w:rsidRPr="00B049AB">
        <w:rPr>
          <w:color w:val="000000" w:themeColor="text1"/>
        </w:rPr>
        <w:t>.</w:t>
      </w:r>
    </w:p>
    <w:bookmarkEnd w:id="1"/>
    <w:p w14:paraId="5E4FF615" w14:textId="48363883" w:rsidR="002359D1" w:rsidRPr="00B049AB" w:rsidRDefault="002359D1" w:rsidP="002359D1">
      <w:pPr>
        <w:pStyle w:val="Sinespaciado"/>
        <w:ind w:firstLine="708"/>
        <w:jc w:val="both"/>
        <w:rPr>
          <w:color w:val="000000" w:themeColor="text1"/>
        </w:rPr>
      </w:pPr>
      <w:r w:rsidRPr="00B049AB">
        <w:rPr>
          <w:color w:val="000000" w:themeColor="text1"/>
        </w:rPr>
        <w:t xml:space="preserve">Dado que el tipo y grado de verdad </w:t>
      </w:r>
      <w:bookmarkStart w:id="2" w:name="_Hlk102038483"/>
      <w:r w:rsidRPr="00B049AB">
        <w:rPr>
          <w:color w:val="000000" w:themeColor="text1"/>
        </w:rPr>
        <w:t xml:space="preserve">de cada resultado concreto están condicionados a la validez con la que se ha obtenido, nosotros hemos estimado la validez con la que los investigadores han obtenido sus resultados, ayudándonos de un test basado en el sistema GRADE, modificado y adaptado por nosotros para ensayos clínicos del tipo que ahora estamos analizando </w:t>
      </w:r>
      <w:r w:rsidRPr="00B049AB">
        <w:rPr>
          <w:b/>
          <w:color w:val="000000" w:themeColor="text1"/>
        </w:rPr>
        <w:t>(suplemento 2)</w:t>
      </w:r>
      <w:r w:rsidRPr="00B049AB">
        <w:rPr>
          <w:color w:val="000000" w:themeColor="text1"/>
        </w:rPr>
        <w:t>.</w:t>
      </w:r>
    </w:p>
    <w:bookmarkEnd w:id="2"/>
    <w:p w14:paraId="2166B742" w14:textId="77777777" w:rsidR="00FE3221" w:rsidRDefault="00FE3221" w:rsidP="00413D81">
      <w:pPr>
        <w:pStyle w:val="Sinespaciado"/>
        <w:jc w:val="both"/>
      </w:pPr>
    </w:p>
    <w:p w14:paraId="7ACADEF6" w14:textId="717B94CF" w:rsidR="00AD0B7D" w:rsidRPr="00F2151B" w:rsidRDefault="00AD0B7D" w:rsidP="00A60231">
      <w:pPr>
        <w:pStyle w:val="Sinespaciado"/>
        <w:jc w:val="both"/>
        <w:rPr>
          <w:b/>
        </w:rPr>
      </w:pPr>
      <w:r>
        <w:rPr>
          <w:b/>
          <w:u w:val="single"/>
        </w:rPr>
        <w:t xml:space="preserve">Variables </w:t>
      </w:r>
      <w:r w:rsidR="00F2151B">
        <w:rPr>
          <w:b/>
          <w:u w:val="single"/>
        </w:rPr>
        <w:t xml:space="preserve">de resultados en salud </w:t>
      </w:r>
      <w:r w:rsidR="004720ED">
        <w:rPr>
          <w:b/>
          <w:u w:val="single"/>
        </w:rPr>
        <w:t>experienciales</w:t>
      </w:r>
    </w:p>
    <w:p w14:paraId="7D3CC2DA" w14:textId="77777777" w:rsidR="00A60E57" w:rsidRDefault="00A60E57" w:rsidP="00A60E57">
      <w:pPr>
        <w:pStyle w:val="Sinespaciado"/>
        <w:jc w:val="both"/>
        <w:rPr>
          <w:b/>
          <w:bCs/>
        </w:rPr>
      </w:pPr>
    </w:p>
    <w:p w14:paraId="1CDEE92C" w14:textId="07B954E6" w:rsidR="00A368EA" w:rsidRDefault="00A60E57" w:rsidP="00A60E57">
      <w:pPr>
        <w:pStyle w:val="Sinespaciado"/>
        <w:jc w:val="both"/>
      </w:pPr>
      <w:r>
        <w:rPr>
          <w:b/>
          <w:bCs/>
        </w:rPr>
        <w:t xml:space="preserve">1º </w:t>
      </w:r>
      <w:r w:rsidRPr="00A60E57">
        <w:t>No se encontraron diferencias estadísticamente significativas</w:t>
      </w:r>
      <w:r w:rsidR="00FB2F34">
        <w:t xml:space="preserve">, durante </w:t>
      </w:r>
      <w:r w:rsidR="00EB1E44">
        <w:t>24 meses</w:t>
      </w:r>
      <w:r w:rsidR="00FB2F34">
        <w:t xml:space="preserve"> de seguimiento,</w:t>
      </w:r>
      <w:r w:rsidRPr="00A60E57">
        <w:t xml:space="preserve"> en las variables: </w:t>
      </w:r>
      <w:r w:rsidRPr="00A60E57">
        <w:rPr>
          <w:b/>
          <w:bCs/>
        </w:rPr>
        <w:t>1) M</w:t>
      </w:r>
      <w:r w:rsidR="0005699D">
        <w:rPr>
          <w:b/>
          <w:bCs/>
        </w:rPr>
        <w:t>ortalidad</w:t>
      </w:r>
      <w:r w:rsidRPr="00A60E57">
        <w:rPr>
          <w:b/>
          <w:bCs/>
        </w:rPr>
        <w:t xml:space="preserve"> por </w:t>
      </w:r>
      <w:r w:rsidR="002D00A5">
        <w:rPr>
          <w:b/>
          <w:bCs/>
        </w:rPr>
        <w:t>todas las causas</w:t>
      </w:r>
      <w:r w:rsidRPr="00A60E57">
        <w:rPr>
          <w:b/>
          <w:bCs/>
        </w:rPr>
        <w:t>:</w:t>
      </w:r>
      <w:r>
        <w:t xml:space="preserve"> con</w:t>
      </w:r>
      <w:r w:rsidR="005B64FC">
        <w:t xml:space="preserve"> un </w:t>
      </w:r>
      <w:r w:rsidR="00243CFB">
        <w:t>4,4</w:t>
      </w:r>
      <w:r w:rsidR="002D00A5">
        <w:t>%</w:t>
      </w:r>
      <w:r>
        <w:t xml:space="preserve"> </w:t>
      </w:r>
      <w:r w:rsidR="005B64FC">
        <w:t xml:space="preserve">de pacientes en </w:t>
      </w:r>
      <w:r w:rsidR="005B64FC">
        <w:lastRenderedPageBreak/>
        <w:t>el g</w:t>
      </w:r>
      <w:r>
        <w:t xml:space="preserve">rupo de </w:t>
      </w:r>
      <w:r w:rsidR="00EB1E44">
        <w:t>empa</w:t>
      </w:r>
      <w:r w:rsidR="00D147E9">
        <w:t>gliflo</w:t>
      </w:r>
      <w:r>
        <w:t xml:space="preserve">zina </w:t>
      </w:r>
      <w:r w:rsidR="005B64FC">
        <w:t xml:space="preserve">frente a un </w:t>
      </w:r>
      <w:r w:rsidR="00243CFB">
        <w:t>5</w:t>
      </w:r>
      <w:r w:rsidRPr="00A60E57">
        <w:t>%</w:t>
      </w:r>
      <w:r>
        <w:t xml:space="preserve"> en el grupo de placebo; </w:t>
      </w:r>
      <w:r w:rsidRPr="00A60E57">
        <w:rPr>
          <w:b/>
          <w:bCs/>
        </w:rPr>
        <w:t>2) M</w:t>
      </w:r>
      <w:r w:rsidR="0005699D">
        <w:rPr>
          <w:b/>
          <w:bCs/>
        </w:rPr>
        <w:t>ortalidad</w:t>
      </w:r>
      <w:r w:rsidRPr="00A60E57">
        <w:rPr>
          <w:b/>
          <w:bCs/>
        </w:rPr>
        <w:t xml:space="preserve"> por causa </w:t>
      </w:r>
      <w:proofErr w:type="gramStart"/>
      <w:r w:rsidR="00FB2F34">
        <w:rPr>
          <w:b/>
          <w:bCs/>
        </w:rPr>
        <w:t>cardiovascular</w:t>
      </w:r>
      <w:r w:rsidRPr="00A60E57">
        <w:rPr>
          <w:b/>
          <w:bCs/>
        </w:rPr>
        <w:t>:</w:t>
      </w:r>
      <w:r>
        <w:t xml:space="preserve"> </w:t>
      </w:r>
      <w:r w:rsidR="00FF590D" w:rsidRPr="00B049AB">
        <w:rPr>
          <w:highlight w:val="yellow"/>
        </w:rPr>
        <w:t>….</w:t>
      </w:r>
      <w:proofErr w:type="gramEnd"/>
      <w:r w:rsidR="00FF590D">
        <w:t xml:space="preserve"> </w:t>
      </w:r>
      <w:r w:rsidR="002F4C4B">
        <w:t>;</w:t>
      </w:r>
      <w:r>
        <w:t xml:space="preserve"> </w:t>
      </w:r>
      <w:r w:rsidR="004800D7" w:rsidRPr="004800D7">
        <w:rPr>
          <w:b/>
          <w:bCs/>
        </w:rPr>
        <w:t xml:space="preserve">3) </w:t>
      </w:r>
      <w:r w:rsidR="00243CFB">
        <w:rPr>
          <w:b/>
          <w:bCs/>
        </w:rPr>
        <w:t>Mortalidad por causa renal</w:t>
      </w:r>
      <w:r w:rsidR="004800D7" w:rsidRPr="004800D7">
        <w:rPr>
          <w:b/>
          <w:bCs/>
        </w:rPr>
        <w:t>:</w:t>
      </w:r>
      <w:r w:rsidR="004800D7">
        <w:t xml:space="preserve"> </w:t>
      </w:r>
      <w:r w:rsidR="00FF590D" w:rsidRPr="00B049AB">
        <w:rPr>
          <w:highlight w:val="yellow"/>
        </w:rPr>
        <w:t>….</w:t>
      </w:r>
      <w:r w:rsidR="004800D7" w:rsidRPr="00B049AB">
        <w:rPr>
          <w:highlight w:val="yellow"/>
        </w:rPr>
        <w:t>.</w:t>
      </w:r>
      <w:r w:rsidR="002F4C4B">
        <w:t xml:space="preserve"> </w:t>
      </w:r>
    </w:p>
    <w:p w14:paraId="2F2635D6" w14:textId="12880918" w:rsidR="00A60E57" w:rsidRPr="00A60E57" w:rsidRDefault="00A368EA" w:rsidP="00A368EA">
      <w:pPr>
        <w:pStyle w:val="Sinespaciado"/>
        <w:ind w:firstLine="708"/>
        <w:jc w:val="both"/>
      </w:pPr>
      <w:r>
        <w:t xml:space="preserve">La validez de la evidencia de los resultados de estas </w:t>
      </w:r>
      <w:r w:rsidR="00FB2F34">
        <w:t xml:space="preserve">tres variables </w:t>
      </w:r>
      <w:r>
        <w:t xml:space="preserve">la </w:t>
      </w:r>
      <w:r w:rsidR="00FB2F34">
        <w:t xml:space="preserve">hemos estimado ALTA-MODERADA en la escala </w:t>
      </w:r>
      <w:r w:rsidR="00CD0E4A">
        <w:t xml:space="preserve">(alta, moderada, baja, muy baja) del sistema </w:t>
      </w:r>
      <w:r w:rsidR="00FB2F34">
        <w:t xml:space="preserve">GRADE </w:t>
      </w:r>
      <w:r w:rsidR="00CD0E4A">
        <w:t>modificado y adaptado.</w:t>
      </w:r>
    </w:p>
    <w:p w14:paraId="764A585E" w14:textId="77777777" w:rsidR="00A60E57" w:rsidRDefault="00A60E57" w:rsidP="00A60E57">
      <w:pPr>
        <w:pStyle w:val="Sinespaciado"/>
        <w:jc w:val="both"/>
        <w:rPr>
          <w:b/>
          <w:bCs/>
        </w:rPr>
      </w:pPr>
    </w:p>
    <w:p w14:paraId="3347F4DB" w14:textId="3A84CBEB" w:rsidR="00253C38" w:rsidRDefault="00A60E57" w:rsidP="00A60E57">
      <w:pPr>
        <w:pStyle w:val="Sinespaciado"/>
        <w:jc w:val="both"/>
      </w:pPr>
      <w:r>
        <w:rPr>
          <w:b/>
          <w:bCs/>
        </w:rPr>
        <w:t>2</w:t>
      </w:r>
      <w:r w:rsidRPr="00A60E57">
        <w:rPr>
          <w:b/>
          <w:bCs/>
        </w:rPr>
        <w:t>º</w:t>
      </w:r>
      <w:r>
        <w:t xml:space="preserve"> </w:t>
      </w:r>
      <w:r w:rsidR="00416583" w:rsidRPr="00EB20F0">
        <w:t>Se encontr</w:t>
      </w:r>
      <w:r w:rsidR="00FF1AAD" w:rsidRPr="00EB20F0">
        <w:t>aron</w:t>
      </w:r>
      <w:r w:rsidR="00416583" w:rsidRPr="00EB20F0">
        <w:t xml:space="preserve"> diferencia</w:t>
      </w:r>
      <w:r w:rsidR="00FF1AAD" w:rsidRPr="00EB20F0">
        <w:t>s</w:t>
      </w:r>
      <w:r w:rsidR="00416583" w:rsidRPr="00EB20F0">
        <w:t xml:space="preserve"> estadísticamente significativa</w:t>
      </w:r>
      <w:r w:rsidR="00FF1AAD" w:rsidRPr="00EB20F0">
        <w:t>s</w:t>
      </w:r>
      <w:r w:rsidR="00416583" w:rsidRPr="00EB20F0">
        <w:t xml:space="preserve"> a favor de </w:t>
      </w:r>
      <w:r w:rsidR="00EB1E44">
        <w:t>empa</w:t>
      </w:r>
      <w:r w:rsidR="00D147E9">
        <w:t>gliflo</w:t>
      </w:r>
      <w:r w:rsidR="00A079EC">
        <w:t>zina</w:t>
      </w:r>
      <w:r w:rsidR="00B44153">
        <w:t xml:space="preserve"> frente a </w:t>
      </w:r>
      <w:r w:rsidR="00A079EC">
        <w:t>placebo</w:t>
      </w:r>
      <w:r w:rsidR="00B44153">
        <w:t xml:space="preserve"> </w:t>
      </w:r>
      <w:r w:rsidR="00416583" w:rsidRPr="00EB20F0">
        <w:t>en</w:t>
      </w:r>
      <w:r w:rsidR="008F3286">
        <w:t xml:space="preserve"> </w:t>
      </w:r>
      <w:r w:rsidR="00E03FB3">
        <w:t>la incidencia de</w:t>
      </w:r>
      <w:r w:rsidR="00416583" w:rsidRPr="00EB20F0">
        <w:t>:</w:t>
      </w:r>
    </w:p>
    <w:p w14:paraId="6A893B8A" w14:textId="77777777" w:rsidR="00B17EFE" w:rsidRPr="00B17EFE" w:rsidRDefault="00B17EFE" w:rsidP="008F3286">
      <w:pPr>
        <w:pStyle w:val="Sinespaciado"/>
        <w:jc w:val="both"/>
        <w:rPr>
          <w:sz w:val="10"/>
          <w:szCs w:val="10"/>
        </w:rPr>
      </w:pPr>
    </w:p>
    <w:p w14:paraId="2DBE1000" w14:textId="11080436" w:rsidR="00D251CC" w:rsidRPr="00A60E57" w:rsidRDefault="0006127F" w:rsidP="00A368EA">
      <w:pPr>
        <w:pStyle w:val="Sinespaciado"/>
        <w:ind w:firstLine="708"/>
        <w:jc w:val="both"/>
      </w:pPr>
      <w:r>
        <w:rPr>
          <w:b/>
          <w:bCs/>
        </w:rPr>
        <w:t xml:space="preserve">1. </w:t>
      </w:r>
      <w:r w:rsidR="00243CFB" w:rsidRPr="00243CFB">
        <w:rPr>
          <w:b/>
          <w:bCs/>
        </w:rPr>
        <w:t xml:space="preserve">Declinación </w:t>
      </w:r>
      <w:r w:rsidR="00243CFB">
        <w:rPr>
          <w:b/>
          <w:bCs/>
        </w:rPr>
        <w:t xml:space="preserve">sostenida de la </w:t>
      </w:r>
      <w:r w:rsidR="00243CFB" w:rsidRPr="00243CFB">
        <w:rPr>
          <w:b/>
          <w:bCs/>
        </w:rPr>
        <w:t xml:space="preserve">FGe </w:t>
      </w:r>
      <w:r w:rsidR="00DF4C43">
        <w:rPr>
          <w:b/>
          <w:bCs/>
        </w:rPr>
        <w:t xml:space="preserve">en </w:t>
      </w:r>
      <w:r w:rsidR="00243CFB" w:rsidRPr="00243CFB">
        <w:rPr>
          <w:b/>
          <w:bCs/>
        </w:rPr>
        <w:t>&gt; 40% desde el inicio</w:t>
      </w:r>
      <w:r w:rsidR="00C82DE6" w:rsidRPr="004800D7">
        <w:rPr>
          <w:b/>
          <w:bCs/>
        </w:rPr>
        <w:t>:</w:t>
      </w:r>
      <w:r w:rsidR="00C82DE6">
        <w:t xml:space="preserve"> </w:t>
      </w:r>
      <w:r w:rsidR="00D251CC">
        <w:rPr>
          <w:b/>
        </w:rPr>
        <w:t xml:space="preserve"> </w:t>
      </w:r>
      <w:r w:rsidR="00D251CC">
        <w:t xml:space="preserve">Hubo un </w:t>
      </w:r>
      <w:r w:rsidR="00C82DE6">
        <w:t>10,</w:t>
      </w:r>
      <w:r w:rsidR="00025716">
        <w:t>8</w:t>
      </w:r>
      <w:r w:rsidR="00C82DE6">
        <w:t>%</w:t>
      </w:r>
      <w:r w:rsidR="00D251CC">
        <w:t xml:space="preserve"> de </w:t>
      </w:r>
      <w:r w:rsidR="00C82DE6">
        <w:t xml:space="preserve">primeros </w:t>
      </w:r>
      <w:r w:rsidR="00D251CC" w:rsidRPr="00652041">
        <w:t xml:space="preserve">eventos </w:t>
      </w:r>
      <w:r w:rsidR="00326E77" w:rsidRPr="00652041">
        <w:t xml:space="preserve">en el grupo de </w:t>
      </w:r>
      <w:r w:rsidR="00EB1E44">
        <w:t>empa</w:t>
      </w:r>
      <w:r w:rsidR="00D147E9">
        <w:t>gliflo</w:t>
      </w:r>
      <w:r w:rsidR="00A079EC" w:rsidRPr="00652041">
        <w:t>zina</w:t>
      </w:r>
      <w:r w:rsidR="00D251CC" w:rsidRPr="00652041">
        <w:t xml:space="preserve"> frente a un </w:t>
      </w:r>
      <w:r w:rsidR="00652041" w:rsidRPr="00652041">
        <w:t>1</w:t>
      </w:r>
      <w:r w:rsidR="00025716">
        <w:t>4</w:t>
      </w:r>
      <w:r w:rsidR="00652041" w:rsidRPr="00652041">
        <w:t>,3</w:t>
      </w:r>
      <w:r w:rsidR="00D251CC" w:rsidRPr="00652041">
        <w:t xml:space="preserve">% </w:t>
      </w:r>
      <w:r w:rsidR="00326E77" w:rsidRPr="00652041">
        <w:t xml:space="preserve">en el grupo de </w:t>
      </w:r>
      <w:r w:rsidR="0067518A" w:rsidRPr="00652041">
        <w:t>placebo; R</w:t>
      </w:r>
      <w:r w:rsidR="00D251CC" w:rsidRPr="00652041">
        <w:t>R</w:t>
      </w:r>
      <w:r w:rsidR="00025716" w:rsidRPr="00025716">
        <w:t xml:space="preserve"> 0,76 (0,67-</w:t>
      </w:r>
      <w:r w:rsidR="00025716" w:rsidRPr="00B049AB">
        <w:t xml:space="preserve">0,86); RAR 3,48% (1,88% a 5,08%); </w:t>
      </w:r>
      <w:r w:rsidR="00025716" w:rsidRPr="00B049AB">
        <w:rPr>
          <w:color w:val="008000"/>
          <w:shd w:val="clear" w:color="auto" w:fill="FFFF99"/>
        </w:rPr>
        <w:t>NNT 29 (20 a 53)</w:t>
      </w:r>
      <w:r w:rsidR="0067518A" w:rsidRPr="00B049AB">
        <w:rPr>
          <w:color w:val="008000"/>
          <w:shd w:val="clear" w:color="auto" w:fill="FFFF99"/>
        </w:rPr>
        <w:t xml:space="preserve"> </w:t>
      </w:r>
      <w:r w:rsidR="00D251CC" w:rsidRPr="00B049AB">
        <w:rPr>
          <w:color w:val="008000"/>
          <w:shd w:val="clear" w:color="auto" w:fill="FFFF99"/>
        </w:rPr>
        <w:t xml:space="preserve">en </w:t>
      </w:r>
      <w:r w:rsidR="00EB1E44" w:rsidRPr="00B049AB">
        <w:rPr>
          <w:color w:val="008000"/>
          <w:shd w:val="clear" w:color="auto" w:fill="FFFF99"/>
        </w:rPr>
        <w:t>24 meses</w:t>
      </w:r>
      <w:r w:rsidR="00121D5D" w:rsidRPr="00B049AB">
        <w:t>.</w:t>
      </w:r>
      <w:r w:rsidR="000D3EB0" w:rsidRPr="00B049AB">
        <w:t xml:space="preserve"> Los 3 destinos de este NNT =</w:t>
      </w:r>
      <w:r w:rsidR="000D3EB0" w:rsidRPr="000D3EB0">
        <w:t xml:space="preserve"> 2</w:t>
      </w:r>
      <w:r w:rsidR="000D3EB0">
        <w:t>9</w:t>
      </w:r>
      <w:r w:rsidR="000D3EB0" w:rsidRPr="000D3EB0">
        <w:t xml:space="preserve"> se distribuyeron así: </w:t>
      </w:r>
      <w:r w:rsidR="000D3EB0" w:rsidRPr="000D3EB0">
        <w:rPr>
          <w:b/>
        </w:rPr>
        <w:t xml:space="preserve">a) </w:t>
      </w:r>
      <w:r w:rsidR="000D3EB0" w:rsidRPr="000D3EB0">
        <w:t>2</w:t>
      </w:r>
      <w:r w:rsidR="000D3EB0">
        <w:t>5</w:t>
      </w:r>
      <w:r w:rsidR="000D3EB0" w:rsidRPr="000D3EB0">
        <w:t xml:space="preserve"> libres de</w:t>
      </w:r>
      <w:r w:rsidR="000D3EB0">
        <w:t>l</w:t>
      </w:r>
      <w:r w:rsidR="000D3EB0" w:rsidRPr="000D3EB0">
        <w:t xml:space="preserve"> evento en ambos grupos; </w:t>
      </w:r>
      <w:r w:rsidR="000D3EB0" w:rsidRPr="000D3EB0">
        <w:rPr>
          <w:b/>
        </w:rPr>
        <w:t>b)</w:t>
      </w:r>
      <w:r w:rsidR="000D3EB0" w:rsidRPr="000D3EB0">
        <w:t xml:space="preserve"> </w:t>
      </w:r>
      <w:r w:rsidR="000D3EB0">
        <w:t>3</w:t>
      </w:r>
      <w:r w:rsidR="000D3EB0" w:rsidRPr="000D3EB0">
        <w:t xml:space="preserve"> con </w:t>
      </w:r>
      <w:r w:rsidR="000D3EB0">
        <w:t xml:space="preserve">el </w:t>
      </w:r>
      <w:r w:rsidR="000D3EB0" w:rsidRPr="000D3EB0">
        <w:t xml:space="preserve">evento en ambos grupos; y </w:t>
      </w:r>
      <w:r w:rsidR="000D3EB0" w:rsidRPr="000D3EB0">
        <w:rPr>
          <w:b/>
        </w:rPr>
        <w:t>c)</w:t>
      </w:r>
      <w:r w:rsidR="000D3EB0" w:rsidRPr="000D3EB0">
        <w:t xml:space="preserve"> 1 libre de</w:t>
      </w:r>
      <w:r w:rsidR="000D3EB0">
        <w:t>l</w:t>
      </w:r>
      <w:r w:rsidR="000D3EB0" w:rsidRPr="000D3EB0">
        <w:t xml:space="preserve"> evento en el grupo de intervención y con </w:t>
      </w:r>
      <w:r w:rsidR="000D3EB0">
        <w:t xml:space="preserve">el </w:t>
      </w:r>
      <w:r w:rsidR="000D3EB0" w:rsidRPr="000D3EB0">
        <w:t xml:space="preserve">evento en el grupo de control.  </w:t>
      </w:r>
    </w:p>
    <w:p w14:paraId="19B70B6E" w14:textId="77777777" w:rsidR="00FD0E51" w:rsidRPr="00A60E57" w:rsidRDefault="00FD0E51" w:rsidP="00FD0E51">
      <w:pPr>
        <w:pStyle w:val="Sinespaciado"/>
        <w:ind w:firstLine="708"/>
        <w:jc w:val="both"/>
      </w:pPr>
      <w:r w:rsidRPr="00A60E57">
        <w:t>La validez de la evidencia</w:t>
      </w:r>
      <w:r>
        <w:t xml:space="preserve"> del resultado de esta variable la hemos estimado </w:t>
      </w:r>
      <w:r w:rsidRPr="00A60E57">
        <w:t>ALTA-MODERADA.</w:t>
      </w:r>
    </w:p>
    <w:p w14:paraId="7C5F1E37" w14:textId="77777777" w:rsidR="00F23485" w:rsidRPr="000D3EB0" w:rsidRDefault="00F23485" w:rsidP="00F23485">
      <w:pPr>
        <w:spacing w:after="0" w:line="240" w:lineRule="auto"/>
        <w:jc w:val="both"/>
        <w:rPr>
          <w:sz w:val="10"/>
          <w:szCs w:val="10"/>
        </w:rPr>
      </w:pPr>
    </w:p>
    <w:p w14:paraId="510852D1" w14:textId="77CF836A" w:rsidR="00F23485" w:rsidRDefault="00F23485" w:rsidP="00FF590D">
      <w:pPr>
        <w:pStyle w:val="Sinespaciado"/>
        <w:ind w:firstLine="708"/>
        <w:jc w:val="both"/>
      </w:pPr>
      <w:r>
        <w:rPr>
          <w:b/>
          <w:bCs/>
        </w:rPr>
        <w:t xml:space="preserve">2. </w:t>
      </w:r>
      <w:r w:rsidR="00DF4C43">
        <w:rPr>
          <w:b/>
          <w:bCs/>
        </w:rPr>
        <w:t xml:space="preserve">Declinación de la </w:t>
      </w:r>
      <w:r w:rsidRPr="00F23485">
        <w:rPr>
          <w:b/>
          <w:bCs/>
        </w:rPr>
        <w:t xml:space="preserve">FGe </w:t>
      </w:r>
      <w:r w:rsidR="00DF4C43">
        <w:rPr>
          <w:b/>
          <w:bCs/>
        </w:rPr>
        <w:t xml:space="preserve">a </w:t>
      </w:r>
      <w:r w:rsidRPr="00F23485">
        <w:rPr>
          <w:b/>
          <w:bCs/>
        </w:rPr>
        <w:t>&lt;10 ml/min sostenida</w:t>
      </w:r>
      <w:r w:rsidRPr="004800D7">
        <w:rPr>
          <w:b/>
          <w:bCs/>
        </w:rPr>
        <w:t>:</w:t>
      </w:r>
      <w:r>
        <w:t xml:space="preserve"> </w:t>
      </w:r>
      <w:r w:rsidR="00FF590D" w:rsidRPr="00B049AB">
        <w:rPr>
          <w:highlight w:val="yellow"/>
        </w:rPr>
        <w:t>….</w:t>
      </w:r>
    </w:p>
    <w:p w14:paraId="599330FC" w14:textId="78F2ADD9" w:rsidR="00FD0E51" w:rsidRPr="00A60E57" w:rsidRDefault="00FD0E51" w:rsidP="00FD0E51">
      <w:pPr>
        <w:pStyle w:val="Sinespaciado"/>
        <w:ind w:firstLine="708"/>
        <w:jc w:val="both"/>
      </w:pPr>
      <w:r w:rsidRPr="00A60E57">
        <w:t>La validez de la evidencia</w:t>
      </w:r>
      <w:r>
        <w:t xml:space="preserve"> del resultado de esta variable la hemos estimado</w:t>
      </w:r>
      <w:r w:rsidR="00FF590D">
        <w:t xml:space="preserve"> </w:t>
      </w:r>
      <w:r w:rsidR="00FF590D" w:rsidRPr="00B049AB">
        <w:rPr>
          <w:highlight w:val="yellow"/>
        </w:rPr>
        <w:t>….</w:t>
      </w:r>
    </w:p>
    <w:p w14:paraId="533FAD6C" w14:textId="77777777" w:rsidR="00FD0E51" w:rsidRPr="00FD0E51" w:rsidRDefault="00FD0E51" w:rsidP="00FD0E51">
      <w:pPr>
        <w:pStyle w:val="Sinespaciado"/>
        <w:jc w:val="both"/>
        <w:rPr>
          <w:b/>
          <w:bCs/>
          <w:sz w:val="10"/>
          <w:szCs w:val="10"/>
        </w:rPr>
      </w:pPr>
    </w:p>
    <w:p w14:paraId="25DF6B9C" w14:textId="6925C78E" w:rsidR="00FD0E51" w:rsidRPr="00A60E57" w:rsidRDefault="00FD0E51" w:rsidP="00FF590D">
      <w:pPr>
        <w:pStyle w:val="Sinespaciado"/>
        <w:ind w:firstLine="708"/>
        <w:jc w:val="both"/>
      </w:pPr>
      <w:r>
        <w:rPr>
          <w:b/>
          <w:bCs/>
        </w:rPr>
        <w:t xml:space="preserve">3. </w:t>
      </w:r>
      <w:r w:rsidRPr="00FD0E51">
        <w:rPr>
          <w:b/>
          <w:bCs/>
        </w:rPr>
        <w:t>E</w:t>
      </w:r>
      <w:r>
        <w:rPr>
          <w:b/>
          <w:bCs/>
        </w:rPr>
        <w:t xml:space="preserve">nfermedad Renal Terminal </w:t>
      </w:r>
      <w:r w:rsidRPr="00FD0E51">
        <w:rPr>
          <w:b/>
          <w:bCs/>
        </w:rPr>
        <w:t xml:space="preserve">= </w:t>
      </w:r>
      <w:r w:rsidRPr="00FD0E51">
        <w:rPr>
          <w:bCs/>
        </w:rPr>
        <w:t>1</w:t>
      </w:r>
      <w:r w:rsidRPr="00FD0E51">
        <w:rPr>
          <w:bCs/>
          <w:vertAlign w:val="superscript"/>
        </w:rPr>
        <w:t>er</w:t>
      </w:r>
      <w:r w:rsidRPr="00FD0E51">
        <w:rPr>
          <w:bCs/>
        </w:rPr>
        <w:t xml:space="preserve"> evento de</w:t>
      </w:r>
      <w:r w:rsidRPr="00FD0E51">
        <w:rPr>
          <w:b/>
          <w:bCs/>
        </w:rPr>
        <w:t xml:space="preserve"> [Diálisis</w:t>
      </w:r>
      <w:r>
        <w:rPr>
          <w:b/>
          <w:bCs/>
        </w:rPr>
        <w:t xml:space="preserve"> de inicio o de mantenimiento,</w:t>
      </w:r>
      <w:r w:rsidRPr="00FD0E51">
        <w:rPr>
          <w:b/>
          <w:bCs/>
        </w:rPr>
        <w:t xml:space="preserve"> o Traspl</w:t>
      </w:r>
      <w:r>
        <w:rPr>
          <w:b/>
          <w:bCs/>
        </w:rPr>
        <w:t>ante</w:t>
      </w:r>
      <w:r w:rsidRPr="00FD0E51">
        <w:rPr>
          <w:b/>
          <w:bCs/>
        </w:rPr>
        <w:t xml:space="preserve"> renal]</w:t>
      </w:r>
      <w:r w:rsidRPr="004800D7">
        <w:rPr>
          <w:b/>
          <w:bCs/>
        </w:rPr>
        <w:t>:</w:t>
      </w:r>
      <w:r>
        <w:t xml:space="preserve"> </w:t>
      </w:r>
      <w:r w:rsidR="00FF590D" w:rsidRPr="00B049AB">
        <w:rPr>
          <w:highlight w:val="yellow"/>
        </w:rPr>
        <w:t>….</w:t>
      </w:r>
      <w:r w:rsidRPr="000D3EB0">
        <w:t xml:space="preserve"> </w:t>
      </w:r>
    </w:p>
    <w:p w14:paraId="102F25FE" w14:textId="65C1E565" w:rsidR="00A368EA" w:rsidRPr="00A60E57" w:rsidRDefault="00A368EA" w:rsidP="00A368EA">
      <w:pPr>
        <w:pStyle w:val="Sinespaciado"/>
        <w:ind w:firstLine="708"/>
        <w:jc w:val="both"/>
      </w:pPr>
      <w:r w:rsidRPr="00A60E57">
        <w:t>La validez de la evidencia</w:t>
      </w:r>
      <w:r>
        <w:t xml:space="preserve"> del resultado de esta variable la hemos estimado</w:t>
      </w:r>
      <w:r w:rsidR="00FF590D">
        <w:t xml:space="preserve"> </w:t>
      </w:r>
      <w:r w:rsidR="00FF590D" w:rsidRPr="00B049AB">
        <w:rPr>
          <w:highlight w:val="yellow"/>
        </w:rPr>
        <w:t>….</w:t>
      </w:r>
      <w:r w:rsidR="00C5646E">
        <w:t xml:space="preserve"> </w:t>
      </w:r>
    </w:p>
    <w:p w14:paraId="487AB890" w14:textId="77777777" w:rsidR="0063645D" w:rsidRDefault="0063645D" w:rsidP="00B17EFE">
      <w:pPr>
        <w:spacing w:after="0" w:line="240" w:lineRule="auto"/>
        <w:jc w:val="both"/>
      </w:pPr>
    </w:p>
    <w:p w14:paraId="05C45F71" w14:textId="796D0571" w:rsidR="0009051D" w:rsidRPr="00F2151B" w:rsidRDefault="0009051D" w:rsidP="0009051D">
      <w:pPr>
        <w:pStyle w:val="Sinespaciado"/>
        <w:jc w:val="both"/>
        <w:rPr>
          <w:b/>
        </w:rPr>
      </w:pPr>
      <w:r>
        <w:rPr>
          <w:b/>
          <w:u w:val="single"/>
        </w:rPr>
        <w:t xml:space="preserve">Variables de resultados en salud NO </w:t>
      </w:r>
      <w:r w:rsidR="005B64FC">
        <w:rPr>
          <w:b/>
          <w:u w:val="single"/>
        </w:rPr>
        <w:t>experienciales</w:t>
      </w:r>
      <w:r w:rsidR="005B64FC" w:rsidRPr="00330274">
        <w:rPr>
          <w:rStyle w:val="Refdenotaalpie"/>
          <w:b/>
          <w:color w:val="FF0066"/>
        </w:rPr>
        <w:footnoteReference w:id="1"/>
      </w:r>
    </w:p>
    <w:p w14:paraId="637165FC" w14:textId="77777777" w:rsidR="00615BF4" w:rsidRPr="0073005C" w:rsidRDefault="00615BF4" w:rsidP="00615BF4">
      <w:pPr>
        <w:pStyle w:val="Sinespaciado"/>
        <w:jc w:val="both"/>
        <w:rPr>
          <w:sz w:val="10"/>
          <w:szCs w:val="10"/>
        </w:rPr>
      </w:pPr>
    </w:p>
    <w:p w14:paraId="1A85A9F6" w14:textId="65445681" w:rsidR="00DF4C43" w:rsidRDefault="00615BF4" w:rsidP="00DF4C43">
      <w:pPr>
        <w:pStyle w:val="Sinespaciado"/>
        <w:ind w:firstLine="708"/>
        <w:jc w:val="both"/>
      </w:pPr>
      <w:r>
        <w:t>Se encontró diferencia</w:t>
      </w:r>
      <w:r w:rsidR="00861AB8">
        <w:t xml:space="preserve"> estadísticamente significativa a favor de </w:t>
      </w:r>
      <w:r w:rsidR="00EB1E44">
        <w:t>empa</w:t>
      </w:r>
      <w:r w:rsidR="00D147E9">
        <w:t>gliflo</w:t>
      </w:r>
      <w:r w:rsidR="00A079EC">
        <w:t>zina</w:t>
      </w:r>
      <w:r w:rsidR="00B17EFE">
        <w:t xml:space="preserve"> </w:t>
      </w:r>
      <w:r>
        <w:t>en</w:t>
      </w:r>
      <w:r w:rsidR="004E2004">
        <w:t>:</w:t>
      </w:r>
    </w:p>
    <w:p w14:paraId="71DA432D" w14:textId="77777777" w:rsidR="005B5920" w:rsidRPr="005B5920" w:rsidRDefault="005B5920" w:rsidP="00DF4C43">
      <w:pPr>
        <w:pStyle w:val="Sinespaciado"/>
        <w:ind w:firstLine="708"/>
        <w:jc w:val="both"/>
        <w:rPr>
          <w:sz w:val="10"/>
          <w:szCs w:val="10"/>
        </w:rPr>
      </w:pPr>
    </w:p>
    <w:p w14:paraId="6B1F8FCD" w14:textId="77777777" w:rsidR="00601851" w:rsidRPr="0016549B" w:rsidRDefault="00DF4C43" w:rsidP="00601851">
      <w:pPr>
        <w:pStyle w:val="Sinespaciado"/>
        <w:ind w:firstLine="708"/>
        <w:jc w:val="both"/>
      </w:pPr>
      <w:r>
        <w:rPr>
          <w:b/>
        </w:rPr>
        <w:t>1.</w:t>
      </w:r>
      <w:r w:rsidR="004E2004" w:rsidRPr="00DF4C43">
        <w:rPr>
          <w:b/>
        </w:rPr>
        <w:t xml:space="preserve"> “Progresión</w:t>
      </w:r>
      <w:r w:rsidR="00F42648">
        <w:rPr>
          <w:b/>
        </w:rPr>
        <w:t xml:space="preserve"> de la</w:t>
      </w:r>
      <w:r w:rsidR="004E2004" w:rsidRPr="00DF4C43">
        <w:rPr>
          <w:b/>
        </w:rPr>
        <w:t xml:space="preserve"> </w:t>
      </w:r>
      <w:r w:rsidR="00C87FD8">
        <w:rPr>
          <w:b/>
        </w:rPr>
        <w:t>e</w:t>
      </w:r>
      <w:r w:rsidR="004E2004" w:rsidRPr="00DF4C43">
        <w:rPr>
          <w:b/>
        </w:rPr>
        <w:t>nfermedad”</w:t>
      </w:r>
      <w:r w:rsidR="004E2004">
        <w:t xml:space="preserve"> = </w:t>
      </w:r>
      <w:r w:rsidR="004E2004" w:rsidRPr="004E2004">
        <w:t>1</w:t>
      </w:r>
      <w:r w:rsidR="004E2004" w:rsidRPr="004E2004">
        <w:rPr>
          <w:vertAlign w:val="superscript"/>
        </w:rPr>
        <w:t>er</w:t>
      </w:r>
      <w:r w:rsidR="004E2004" w:rsidRPr="004E2004">
        <w:t xml:space="preserve"> evento de </w:t>
      </w:r>
      <w:r w:rsidR="004E2004" w:rsidRPr="00DF4C43">
        <w:rPr>
          <w:b/>
        </w:rPr>
        <w:t>[Declinación FGe en ≥40%, Declinación FGe a &lt;10 ml/min, Diálisis, Traspl</w:t>
      </w:r>
      <w:r w:rsidRPr="00DF4C43">
        <w:rPr>
          <w:b/>
        </w:rPr>
        <w:t>ante</w:t>
      </w:r>
      <w:r w:rsidR="004E2004" w:rsidRPr="00DF4C43">
        <w:rPr>
          <w:b/>
        </w:rPr>
        <w:t xml:space="preserve"> renal, o Mort</w:t>
      </w:r>
      <w:r w:rsidRPr="00DF4C43">
        <w:rPr>
          <w:b/>
        </w:rPr>
        <w:t>alidad</w:t>
      </w:r>
      <w:r w:rsidR="004E2004" w:rsidRPr="00DF4C43">
        <w:rPr>
          <w:b/>
        </w:rPr>
        <w:t xml:space="preserve"> renal]</w:t>
      </w:r>
      <w:r>
        <w:t xml:space="preserve">, con un 11,6% frente a un 15,5% de primeros eventos; </w:t>
      </w:r>
      <w:r w:rsidRPr="00314512">
        <w:rPr>
          <w:color w:val="008000"/>
          <w:shd w:val="clear" w:color="auto" w:fill="FFFF99"/>
        </w:rPr>
        <w:t xml:space="preserve">NNT </w:t>
      </w:r>
      <w:r>
        <w:rPr>
          <w:color w:val="008000"/>
          <w:shd w:val="clear" w:color="auto" w:fill="FFFF99"/>
        </w:rPr>
        <w:t>29</w:t>
      </w:r>
      <w:r w:rsidRPr="00771468">
        <w:rPr>
          <w:color w:val="008000"/>
          <w:shd w:val="clear" w:color="auto" w:fill="FFFF99"/>
        </w:rPr>
        <w:t xml:space="preserve"> (</w:t>
      </w:r>
      <w:r>
        <w:rPr>
          <w:color w:val="008000"/>
          <w:shd w:val="clear" w:color="auto" w:fill="FFFF99"/>
        </w:rPr>
        <w:t>19</w:t>
      </w:r>
      <w:r w:rsidRPr="00771468">
        <w:rPr>
          <w:color w:val="008000"/>
          <w:shd w:val="clear" w:color="auto" w:fill="FFFF99"/>
        </w:rPr>
        <w:t xml:space="preserve"> a </w:t>
      </w:r>
      <w:r>
        <w:rPr>
          <w:color w:val="008000"/>
          <w:shd w:val="clear" w:color="auto" w:fill="FFFF99"/>
        </w:rPr>
        <w:t>50</w:t>
      </w:r>
      <w:r w:rsidRPr="00771468">
        <w:rPr>
          <w:color w:val="008000"/>
          <w:shd w:val="clear" w:color="auto" w:fill="FFFF99"/>
        </w:rPr>
        <w:t>)</w:t>
      </w:r>
      <w:r>
        <w:rPr>
          <w:color w:val="008000"/>
          <w:shd w:val="clear" w:color="auto" w:fill="FFFF99"/>
        </w:rPr>
        <w:t xml:space="preserve"> </w:t>
      </w:r>
      <w:r w:rsidRPr="00314512">
        <w:rPr>
          <w:color w:val="008000"/>
          <w:shd w:val="clear" w:color="auto" w:fill="FFFF99"/>
        </w:rPr>
        <w:t xml:space="preserve">en </w:t>
      </w:r>
      <w:r>
        <w:rPr>
          <w:color w:val="008000"/>
          <w:shd w:val="clear" w:color="auto" w:fill="FFFF99"/>
        </w:rPr>
        <w:t>24 meses</w:t>
      </w:r>
      <w:r>
        <w:t>.</w:t>
      </w:r>
      <w:r w:rsidR="0016549B">
        <w:t xml:space="preserve"> Aparte</w:t>
      </w:r>
      <w:r w:rsidR="00C5646E">
        <w:t xml:space="preserve"> de</w:t>
      </w:r>
      <w:r w:rsidR="0016549B">
        <w:t xml:space="preserve"> </w:t>
      </w:r>
      <w:r w:rsidR="00E05F86">
        <w:t xml:space="preserve">que </w:t>
      </w:r>
      <w:r w:rsidR="0016549B">
        <w:t>esta variable combinada es un concepto</w:t>
      </w:r>
      <w:r w:rsidR="00E05F86">
        <w:t xml:space="preserve"> científico</w:t>
      </w:r>
      <w:r w:rsidR="0016549B">
        <w:t xml:space="preserve"> oscuro y confuso, y no experiencial, además es una </w:t>
      </w:r>
      <w:r w:rsidR="0016549B" w:rsidRPr="0016549B">
        <w:rPr>
          <w:i/>
        </w:rPr>
        <w:t>apariencia falaz de presencia</w:t>
      </w:r>
      <w:r w:rsidR="0016549B">
        <w:rPr>
          <w:i/>
        </w:rPr>
        <w:t xml:space="preserve"> (de beneficio)</w:t>
      </w:r>
      <w:r w:rsidR="0016549B">
        <w:t xml:space="preserve">, pues aparenta tener beneficio en la Mortalidad renal, a pesar de que no lo había mostrado como variable individual. </w:t>
      </w:r>
      <w:r w:rsidR="00145022">
        <w:t>Las variables individuales que componen esta variable combinada explican y aclaran más separadas que yuxtapuestas</w:t>
      </w:r>
      <w:r w:rsidR="00601851">
        <w:t>, porque su yuxtaposición oscurece y confunde.</w:t>
      </w:r>
    </w:p>
    <w:p w14:paraId="6477329F" w14:textId="77777777" w:rsidR="005B5920" w:rsidRPr="005B5920" w:rsidRDefault="005B5920" w:rsidP="00DF4C43">
      <w:pPr>
        <w:pStyle w:val="Sinespaciado"/>
        <w:ind w:firstLine="708"/>
        <w:jc w:val="both"/>
        <w:rPr>
          <w:sz w:val="10"/>
          <w:szCs w:val="10"/>
        </w:rPr>
      </w:pPr>
    </w:p>
    <w:p w14:paraId="1B116E95" w14:textId="3F10111C" w:rsidR="0016549B" w:rsidRPr="0016549B" w:rsidRDefault="00DF4C43" w:rsidP="0016549B">
      <w:pPr>
        <w:pStyle w:val="Sinespaciado"/>
        <w:ind w:firstLine="708"/>
        <w:jc w:val="both"/>
      </w:pPr>
      <w:r>
        <w:rPr>
          <w:b/>
        </w:rPr>
        <w:t xml:space="preserve">2. </w:t>
      </w:r>
      <w:r w:rsidR="00123010">
        <w:rPr>
          <w:b/>
        </w:rPr>
        <w:t>“Progresión de la enfermedad</w:t>
      </w:r>
      <w:r w:rsidR="00C87FD8">
        <w:rPr>
          <w:b/>
        </w:rPr>
        <w:t>”</w:t>
      </w:r>
      <w:r w:rsidR="00123010">
        <w:rPr>
          <w:b/>
        </w:rPr>
        <w:t xml:space="preserve"> o Mortalidad CV</w:t>
      </w:r>
      <w:r>
        <w:t xml:space="preserve"> = </w:t>
      </w:r>
      <w:r w:rsidRPr="004E2004">
        <w:t>1</w:t>
      </w:r>
      <w:r w:rsidRPr="004E2004">
        <w:rPr>
          <w:vertAlign w:val="superscript"/>
        </w:rPr>
        <w:t>er</w:t>
      </w:r>
      <w:r w:rsidRPr="004E2004">
        <w:t xml:space="preserve"> evento de </w:t>
      </w:r>
      <w:r w:rsidRPr="00DF4C43">
        <w:rPr>
          <w:b/>
        </w:rPr>
        <w:t>[Declinación FGe en ≥40%, Declinación FGe a &lt;10 ml/min, Diálisis, Trasplante renal, Mortalidad renal</w:t>
      </w:r>
      <w:r>
        <w:rPr>
          <w:b/>
        </w:rPr>
        <w:t>, o Mortalidad cardiovascular</w:t>
      </w:r>
      <w:r w:rsidRPr="00DF4C43">
        <w:rPr>
          <w:b/>
        </w:rPr>
        <w:t>]</w:t>
      </w:r>
      <w:r>
        <w:t xml:space="preserve">, con un 13,1% frente a un 16,9% de primeros eventos; </w:t>
      </w:r>
      <w:r w:rsidRPr="00314512">
        <w:rPr>
          <w:color w:val="008000"/>
          <w:shd w:val="clear" w:color="auto" w:fill="FFFF99"/>
        </w:rPr>
        <w:t xml:space="preserve">NNT </w:t>
      </w:r>
      <w:r>
        <w:rPr>
          <w:color w:val="008000"/>
          <w:shd w:val="clear" w:color="auto" w:fill="FFFF99"/>
        </w:rPr>
        <w:t>26</w:t>
      </w:r>
      <w:r w:rsidRPr="00771468">
        <w:rPr>
          <w:color w:val="008000"/>
          <w:shd w:val="clear" w:color="auto" w:fill="FFFF99"/>
        </w:rPr>
        <w:t xml:space="preserve"> (</w:t>
      </w:r>
      <w:r>
        <w:rPr>
          <w:color w:val="008000"/>
          <w:shd w:val="clear" w:color="auto" w:fill="FFFF99"/>
        </w:rPr>
        <w:t>18</w:t>
      </w:r>
      <w:r w:rsidRPr="00771468">
        <w:rPr>
          <w:color w:val="008000"/>
          <w:shd w:val="clear" w:color="auto" w:fill="FFFF99"/>
        </w:rPr>
        <w:t xml:space="preserve"> a </w:t>
      </w:r>
      <w:r>
        <w:rPr>
          <w:color w:val="008000"/>
          <w:shd w:val="clear" w:color="auto" w:fill="FFFF99"/>
        </w:rPr>
        <w:t>48</w:t>
      </w:r>
      <w:r w:rsidRPr="00771468">
        <w:rPr>
          <w:color w:val="008000"/>
          <w:shd w:val="clear" w:color="auto" w:fill="FFFF99"/>
        </w:rPr>
        <w:t>)</w:t>
      </w:r>
      <w:r>
        <w:rPr>
          <w:color w:val="008000"/>
          <w:shd w:val="clear" w:color="auto" w:fill="FFFF99"/>
        </w:rPr>
        <w:t xml:space="preserve"> </w:t>
      </w:r>
      <w:r w:rsidRPr="00314512">
        <w:rPr>
          <w:color w:val="008000"/>
          <w:shd w:val="clear" w:color="auto" w:fill="FFFF99"/>
        </w:rPr>
        <w:t xml:space="preserve">en </w:t>
      </w:r>
      <w:r>
        <w:rPr>
          <w:color w:val="008000"/>
          <w:shd w:val="clear" w:color="auto" w:fill="FFFF99"/>
        </w:rPr>
        <w:t>24 meses</w:t>
      </w:r>
      <w:r>
        <w:t>.</w:t>
      </w:r>
      <w:r w:rsidR="0016549B">
        <w:t xml:space="preserve"> Aparte de </w:t>
      </w:r>
      <w:r w:rsidR="00C5646E">
        <w:t xml:space="preserve">que </w:t>
      </w:r>
      <w:r w:rsidR="0016549B">
        <w:t>esta variable combinada es un concepto</w:t>
      </w:r>
      <w:r w:rsidR="00E05F86">
        <w:t xml:space="preserve"> científico</w:t>
      </w:r>
      <w:r w:rsidR="0016549B">
        <w:t xml:space="preserve"> oscuro y confuso, y no experiencial, además es una </w:t>
      </w:r>
      <w:r w:rsidR="0016549B" w:rsidRPr="0016549B">
        <w:rPr>
          <w:i/>
        </w:rPr>
        <w:t>apariencia falaz de presencia</w:t>
      </w:r>
      <w:r w:rsidR="0016549B">
        <w:rPr>
          <w:i/>
        </w:rPr>
        <w:t xml:space="preserve"> (de beneficio)</w:t>
      </w:r>
      <w:r w:rsidR="0016549B">
        <w:t xml:space="preserve">, pues aparenta tener beneficio en la Mortalidad renal y/o en la Mortalidad cardiovascular, a pesar de que no los había mostrado como sendas variables individuales. </w:t>
      </w:r>
      <w:r w:rsidR="00145022">
        <w:t>Las variables individuales que componen esta variable combinada explican y aclaran más separadas que yuxtapuestas, porque su yuxtaposición oscurece y confunde.</w:t>
      </w:r>
    </w:p>
    <w:p w14:paraId="1B9D3FD6" w14:textId="77777777" w:rsidR="004258CF" w:rsidRDefault="004258CF" w:rsidP="00A60231">
      <w:pPr>
        <w:pStyle w:val="Sinespaciado"/>
        <w:jc w:val="both"/>
        <w:rPr>
          <w:b/>
          <w:u w:val="single"/>
        </w:rPr>
      </w:pPr>
    </w:p>
    <w:p w14:paraId="7AA6AF08" w14:textId="61E905B0" w:rsidR="00AD0B7D" w:rsidRDefault="00CA1146" w:rsidP="00A60231">
      <w:pPr>
        <w:pStyle w:val="Sinespaciado"/>
        <w:jc w:val="both"/>
        <w:rPr>
          <w:b/>
          <w:u w:val="single"/>
        </w:rPr>
      </w:pPr>
      <w:r>
        <w:rPr>
          <w:b/>
          <w:u w:val="single"/>
        </w:rPr>
        <w:t>E</w:t>
      </w:r>
      <w:r w:rsidR="00AD0B7D" w:rsidRPr="00AD0B7D">
        <w:rPr>
          <w:b/>
          <w:u w:val="single"/>
        </w:rPr>
        <w:t xml:space="preserve">fectos adversos </w:t>
      </w:r>
      <w:r w:rsidR="00993273">
        <w:rPr>
          <w:b/>
          <w:u w:val="single"/>
        </w:rPr>
        <w:t>(EA)</w:t>
      </w:r>
      <w:r w:rsidR="00D50024">
        <w:rPr>
          <w:b/>
          <w:u w:val="single"/>
        </w:rPr>
        <w:t xml:space="preserve"> informados por los investigadores</w:t>
      </w:r>
    </w:p>
    <w:p w14:paraId="6795D23F" w14:textId="77777777" w:rsidR="00AD0B7D" w:rsidRPr="00AD0B7D" w:rsidRDefault="00AD0B7D" w:rsidP="00A60231">
      <w:pPr>
        <w:pStyle w:val="Sinespaciado"/>
        <w:jc w:val="both"/>
        <w:rPr>
          <w:b/>
          <w:sz w:val="10"/>
          <w:szCs w:val="10"/>
          <w:u w:val="single"/>
        </w:rPr>
      </w:pPr>
    </w:p>
    <w:p w14:paraId="0D18EC61" w14:textId="2E909987" w:rsidR="00D50024" w:rsidRDefault="00095651" w:rsidP="004E190F">
      <w:pPr>
        <w:pStyle w:val="Sinespaciado"/>
        <w:ind w:firstLine="708"/>
        <w:jc w:val="both"/>
      </w:pPr>
      <w:r>
        <w:t xml:space="preserve">No se encontraron diferencias </w:t>
      </w:r>
      <w:r w:rsidR="0073663B">
        <w:t xml:space="preserve">entre ambos grupos </w:t>
      </w:r>
      <w:r>
        <w:t>en</w:t>
      </w:r>
      <w:r w:rsidRPr="004E190F">
        <w:t xml:space="preserve">: </w:t>
      </w:r>
      <w:r w:rsidR="004E190F" w:rsidRPr="005B5920">
        <w:rPr>
          <w:b/>
        </w:rPr>
        <w:t>a)</w:t>
      </w:r>
      <w:r w:rsidR="004E190F">
        <w:t xml:space="preserve"> Infección del trato urinario serious o grave </w:t>
      </w:r>
      <w:r w:rsidR="003E7889">
        <w:t>(2% en ambos grupos</w:t>
      </w:r>
      <w:r w:rsidR="004E190F">
        <w:t xml:space="preserve">); </w:t>
      </w:r>
      <w:r w:rsidR="004E190F" w:rsidRPr="005B5920">
        <w:rPr>
          <w:b/>
        </w:rPr>
        <w:t>b)</w:t>
      </w:r>
      <w:r w:rsidR="004E190F">
        <w:t xml:space="preserve"> Infección genital serious o grave</w:t>
      </w:r>
      <w:r w:rsidR="003E7889">
        <w:t xml:space="preserve"> (</w:t>
      </w:r>
      <w:r w:rsidR="00B049AB" w:rsidRPr="00B049AB">
        <w:rPr>
          <w:highlight w:val="yellow"/>
        </w:rPr>
        <w:t>….</w:t>
      </w:r>
      <w:r w:rsidR="00B049AB">
        <w:t xml:space="preserve"> </w:t>
      </w:r>
      <w:r w:rsidR="003E7889">
        <w:t>)</w:t>
      </w:r>
      <w:r w:rsidR="004E190F">
        <w:t xml:space="preserve">; </w:t>
      </w:r>
      <w:r w:rsidR="004E190F" w:rsidRPr="005B5920">
        <w:rPr>
          <w:b/>
        </w:rPr>
        <w:t>c)</w:t>
      </w:r>
      <w:r w:rsidR="004E190F">
        <w:t xml:space="preserve"> </w:t>
      </w:r>
      <w:r w:rsidR="004E190F">
        <w:lastRenderedPageBreak/>
        <w:t>Hiperpotasemia serious o grave</w:t>
      </w:r>
      <w:r w:rsidR="003E7889">
        <w:t xml:space="preserve"> </w:t>
      </w:r>
      <w:r w:rsidR="00B049AB">
        <w:t>(</w:t>
      </w:r>
      <w:r w:rsidR="00B049AB" w:rsidRPr="00B049AB">
        <w:rPr>
          <w:highlight w:val="yellow"/>
        </w:rPr>
        <w:t>….</w:t>
      </w:r>
      <w:r w:rsidR="00B049AB">
        <w:t xml:space="preserve"> )</w:t>
      </w:r>
      <w:r w:rsidR="004E190F">
        <w:t xml:space="preserve">; </w:t>
      </w:r>
      <w:r w:rsidR="004E190F" w:rsidRPr="005B5920">
        <w:rPr>
          <w:b/>
        </w:rPr>
        <w:t>d)</w:t>
      </w:r>
      <w:r w:rsidR="004E190F">
        <w:t xml:space="preserve"> Fallo renal agudo serious o grave</w:t>
      </w:r>
      <w:r w:rsidR="003E7889">
        <w:t xml:space="preserve"> </w:t>
      </w:r>
      <w:r w:rsidR="00C65ADB">
        <w:t>(</w:t>
      </w:r>
      <w:r w:rsidR="00C65ADB" w:rsidRPr="00B049AB">
        <w:rPr>
          <w:highlight w:val="yellow"/>
        </w:rPr>
        <w:t>….</w:t>
      </w:r>
      <w:r w:rsidR="00C65ADB">
        <w:t xml:space="preserve"> )</w:t>
      </w:r>
      <w:r w:rsidR="004E190F">
        <w:t xml:space="preserve">; </w:t>
      </w:r>
      <w:r w:rsidR="004E190F" w:rsidRPr="005B5920">
        <w:rPr>
          <w:b/>
        </w:rPr>
        <w:t>e)</w:t>
      </w:r>
      <w:r w:rsidR="004E190F">
        <w:t xml:space="preserve"> Deshidratación serious o grave</w:t>
      </w:r>
      <w:r w:rsidR="00C65ADB">
        <w:t xml:space="preserve"> (</w:t>
      </w:r>
      <w:r w:rsidR="00C65ADB" w:rsidRPr="00B049AB">
        <w:rPr>
          <w:highlight w:val="yellow"/>
        </w:rPr>
        <w:t>….</w:t>
      </w:r>
      <w:r w:rsidR="00C65ADB">
        <w:t xml:space="preserve"> )</w:t>
      </w:r>
      <w:r w:rsidR="004E190F">
        <w:t xml:space="preserve">; </w:t>
      </w:r>
      <w:r w:rsidR="004E190F" w:rsidRPr="005B5920">
        <w:rPr>
          <w:b/>
        </w:rPr>
        <w:t>f)</w:t>
      </w:r>
      <w:r w:rsidR="004E190F">
        <w:t xml:space="preserve"> Daño hepático</w:t>
      </w:r>
      <w:r w:rsidR="00C65ADB">
        <w:t xml:space="preserve"> (</w:t>
      </w:r>
      <w:r w:rsidR="00C65ADB" w:rsidRPr="00B049AB">
        <w:rPr>
          <w:highlight w:val="yellow"/>
        </w:rPr>
        <w:t>….</w:t>
      </w:r>
      <w:r w:rsidR="00C65ADB">
        <w:t xml:space="preserve"> )</w:t>
      </w:r>
      <w:r w:rsidR="004E190F">
        <w:t xml:space="preserve">; </w:t>
      </w:r>
      <w:r w:rsidR="004E190F" w:rsidRPr="005B5920">
        <w:rPr>
          <w:b/>
        </w:rPr>
        <w:t>g)</w:t>
      </w:r>
      <w:r w:rsidR="004E190F">
        <w:t xml:space="preserve"> Cetoacidosis</w:t>
      </w:r>
      <w:r w:rsidR="003E7889">
        <w:t xml:space="preserve"> </w:t>
      </w:r>
      <w:r w:rsidR="00C65ADB">
        <w:t>(</w:t>
      </w:r>
      <w:r w:rsidR="00C65ADB" w:rsidRPr="00B049AB">
        <w:rPr>
          <w:highlight w:val="yellow"/>
        </w:rPr>
        <w:t>….</w:t>
      </w:r>
      <w:r w:rsidR="00C65ADB">
        <w:t xml:space="preserve"> )</w:t>
      </w:r>
      <w:r w:rsidR="004E190F">
        <w:t xml:space="preserve">; </w:t>
      </w:r>
      <w:r w:rsidR="004E190F" w:rsidRPr="005B5920">
        <w:rPr>
          <w:b/>
        </w:rPr>
        <w:t>h)</w:t>
      </w:r>
      <w:r w:rsidR="004E190F">
        <w:t xml:space="preserve"> Amputación en extremidades inferiores</w:t>
      </w:r>
      <w:r w:rsidR="003E7889">
        <w:t xml:space="preserve"> </w:t>
      </w:r>
      <w:r w:rsidR="00C65ADB">
        <w:t>(</w:t>
      </w:r>
      <w:r w:rsidR="00C65ADB" w:rsidRPr="00B049AB">
        <w:rPr>
          <w:highlight w:val="yellow"/>
        </w:rPr>
        <w:t>….</w:t>
      </w:r>
      <w:r w:rsidR="00C65ADB">
        <w:t xml:space="preserve"> )</w:t>
      </w:r>
      <w:r w:rsidR="004E190F">
        <w:t xml:space="preserve">; </w:t>
      </w:r>
      <w:r w:rsidR="004E190F" w:rsidRPr="005B5920">
        <w:rPr>
          <w:b/>
        </w:rPr>
        <w:t>i)</w:t>
      </w:r>
      <w:r w:rsidR="004E190F">
        <w:t xml:space="preserve"> Fractura ósea</w:t>
      </w:r>
      <w:r w:rsidR="003E7889">
        <w:t xml:space="preserve"> </w:t>
      </w:r>
      <w:r w:rsidR="00C65ADB">
        <w:t>(</w:t>
      </w:r>
      <w:r w:rsidR="00C65ADB" w:rsidRPr="00B049AB">
        <w:rPr>
          <w:highlight w:val="yellow"/>
        </w:rPr>
        <w:t>….</w:t>
      </w:r>
      <w:r w:rsidR="00C65ADB">
        <w:t xml:space="preserve"> )</w:t>
      </w:r>
      <w:r w:rsidR="004E190F">
        <w:t xml:space="preserve">; </w:t>
      </w:r>
      <w:r w:rsidR="004E190F" w:rsidRPr="005B5920">
        <w:rPr>
          <w:b/>
        </w:rPr>
        <w:t>j)</w:t>
      </w:r>
      <w:r w:rsidR="004E190F">
        <w:t xml:space="preserve"> Hipoglucemia que requiere asistencia</w:t>
      </w:r>
      <w:r w:rsidR="003E7889">
        <w:t xml:space="preserve"> </w:t>
      </w:r>
      <w:r w:rsidR="00C65ADB">
        <w:t>(</w:t>
      </w:r>
      <w:r w:rsidR="00C65ADB" w:rsidRPr="00B049AB">
        <w:rPr>
          <w:highlight w:val="yellow"/>
        </w:rPr>
        <w:t>….</w:t>
      </w:r>
      <w:r w:rsidR="00C65ADB">
        <w:t xml:space="preserve"> )</w:t>
      </w:r>
      <w:r w:rsidR="003E7889">
        <w:t>;</w:t>
      </w:r>
      <w:r w:rsidR="004E190F">
        <w:t xml:space="preserve"> </w:t>
      </w:r>
      <w:r w:rsidR="004E190F" w:rsidRPr="005B5920">
        <w:rPr>
          <w:b/>
        </w:rPr>
        <w:t>k)</w:t>
      </w:r>
      <w:r w:rsidR="004E190F">
        <w:t xml:space="preserve"> Deshidratación sintomá</w:t>
      </w:r>
      <w:r w:rsidR="00B049AB">
        <w:t>t</w:t>
      </w:r>
      <w:r w:rsidR="004E190F">
        <w:t>ica</w:t>
      </w:r>
      <w:r w:rsidR="00C65ADB">
        <w:t xml:space="preserve"> (</w:t>
      </w:r>
      <w:r w:rsidR="00C65ADB" w:rsidRPr="00B049AB">
        <w:rPr>
          <w:highlight w:val="yellow"/>
        </w:rPr>
        <w:t>….</w:t>
      </w:r>
      <w:r w:rsidR="00C65ADB">
        <w:t xml:space="preserve"> )</w:t>
      </w:r>
      <w:r w:rsidR="003D526F">
        <w:t>.</w:t>
      </w:r>
    </w:p>
    <w:p w14:paraId="732951A6" w14:textId="47D6F9C5" w:rsidR="001323FE" w:rsidRPr="001323FE" w:rsidRDefault="001323FE" w:rsidP="00095651">
      <w:pPr>
        <w:pStyle w:val="Sinespaciado"/>
        <w:ind w:firstLine="708"/>
        <w:jc w:val="both"/>
        <w:rPr>
          <w:sz w:val="10"/>
          <w:szCs w:val="10"/>
        </w:rPr>
      </w:pPr>
    </w:p>
    <w:p w14:paraId="7C8524E2" w14:textId="03672002" w:rsidR="00957B1E" w:rsidRDefault="00957B1E" w:rsidP="00993273">
      <w:pPr>
        <w:pStyle w:val="Sinespaciado"/>
        <w:jc w:val="both"/>
      </w:pPr>
      <w:r>
        <w:tab/>
        <w:t xml:space="preserve">Es necesario añadir que los investigadores no informan de qué proporción de cada EA </w:t>
      </w:r>
      <w:r w:rsidR="0073663B">
        <w:t>informado</w:t>
      </w:r>
      <w:r>
        <w:t xml:space="preserve"> se </w:t>
      </w:r>
      <w:r w:rsidR="00CB0DFC">
        <w:t xml:space="preserve">ha </w:t>
      </w:r>
      <w:r w:rsidR="0073663B">
        <w:t>relacionado con</w:t>
      </w:r>
      <w:r w:rsidR="00CB0DFC">
        <w:t xml:space="preserve"> los tratamientos estudiados</w:t>
      </w:r>
      <w:r w:rsidR="003D526F">
        <w:t xml:space="preserve"> (</w:t>
      </w:r>
      <w:r w:rsidR="003D526F" w:rsidRPr="003D526F">
        <w:rPr>
          <w:b/>
        </w:rPr>
        <w:t>tabla nnt-2</w:t>
      </w:r>
      <w:r w:rsidR="003D526F">
        <w:t>).</w:t>
      </w:r>
    </w:p>
    <w:p w14:paraId="1AE4E98A" w14:textId="77777777" w:rsidR="002E2F02" w:rsidRDefault="002E2F02" w:rsidP="00B43723">
      <w:pPr>
        <w:pStyle w:val="Sinespaciado"/>
        <w:ind w:firstLine="708"/>
        <w:jc w:val="both"/>
        <w:rPr>
          <w:color w:val="000000" w:themeColor="text1"/>
        </w:rPr>
      </w:pPr>
    </w:p>
    <w:p w14:paraId="5AE01B4A" w14:textId="77777777" w:rsidR="00B43723" w:rsidRPr="00C65ADB" w:rsidRDefault="00CF7432" w:rsidP="00B43723">
      <w:pPr>
        <w:pStyle w:val="Sinespaciado"/>
        <w:ind w:firstLine="708"/>
        <w:jc w:val="both"/>
        <w:rPr>
          <w:color w:val="000000" w:themeColor="text1"/>
        </w:rPr>
      </w:pPr>
      <w:r w:rsidRPr="00C65ADB">
        <w:rPr>
          <w:color w:val="000000" w:themeColor="text1"/>
        </w:rPr>
        <w:t xml:space="preserve">Todos los datos de beneficios y efectos adversos pueden verse en detalle en las </w:t>
      </w:r>
      <w:r w:rsidRPr="00C65ADB">
        <w:rPr>
          <w:b/>
          <w:color w:val="000000" w:themeColor="text1"/>
        </w:rPr>
        <w:t>tablas nnt</w:t>
      </w:r>
      <w:r w:rsidRPr="00C65ADB">
        <w:rPr>
          <w:color w:val="000000" w:themeColor="text1"/>
        </w:rPr>
        <w:t xml:space="preserve"> (con los NNT) y </w:t>
      </w:r>
      <w:r w:rsidRPr="00C65ADB">
        <w:rPr>
          <w:b/>
          <w:color w:val="000000" w:themeColor="text1"/>
        </w:rPr>
        <w:t>gráficos g</w:t>
      </w:r>
      <w:r w:rsidRPr="00C65ADB">
        <w:rPr>
          <w:color w:val="000000" w:themeColor="text1"/>
        </w:rPr>
        <w:t xml:space="preserve"> (que cruzan los tres tiempos biográficos con los tres destinos del NNT).</w:t>
      </w:r>
    </w:p>
    <w:p w14:paraId="6283BCA6" w14:textId="77777777" w:rsidR="000231F4" w:rsidRPr="00C65ADB" w:rsidRDefault="000231F4" w:rsidP="000231F4">
      <w:pPr>
        <w:pStyle w:val="Sinespaciado"/>
        <w:jc w:val="both"/>
        <w:rPr>
          <w:color w:val="000000" w:themeColor="text1"/>
        </w:rPr>
      </w:pPr>
    </w:p>
    <w:p w14:paraId="72E9132E" w14:textId="554E1C6E" w:rsidR="000231F4" w:rsidRPr="00A60231" w:rsidRDefault="00866757" w:rsidP="00866757">
      <w:pPr>
        <w:pStyle w:val="Sinespaciado"/>
        <w:pBdr>
          <w:top w:val="single" w:sz="4" w:space="1" w:color="auto"/>
          <w:left w:val="single" w:sz="4" w:space="4" w:color="auto"/>
          <w:bottom w:val="single" w:sz="4" w:space="1" w:color="auto"/>
          <w:right w:val="single" w:sz="4" w:space="4" w:color="auto"/>
        </w:pBdr>
        <w:jc w:val="both"/>
      </w:pPr>
      <w:r>
        <w:rPr>
          <w:b/>
        </w:rPr>
        <w:t>Hoja de información al usuario (F</w:t>
      </w:r>
      <w:r w:rsidR="000231F4" w:rsidRPr="000231F4">
        <w:rPr>
          <w:b/>
        </w:rPr>
        <w:t>ACT BOX</w:t>
      </w:r>
      <w:r>
        <w:rPr>
          <w:b/>
        </w:rPr>
        <w:t>)</w:t>
      </w:r>
      <w:r w:rsidR="000231F4" w:rsidRPr="000231F4">
        <w:rPr>
          <w:b/>
        </w:rPr>
        <w:t xml:space="preserve">: </w:t>
      </w:r>
      <w:r w:rsidR="000231F4">
        <w:t xml:space="preserve">Para ayuda a la toma de decisiones con usuarios mostramos los resultados de beneficios y efectos adversos en un Fact Box </w:t>
      </w:r>
      <w:r w:rsidR="0073663B">
        <w:t xml:space="preserve">en </w:t>
      </w:r>
      <w:r w:rsidR="00BB6DF8">
        <w:t>nuestras tablas de resultados.</w:t>
      </w:r>
    </w:p>
    <w:p w14:paraId="7291B49C" w14:textId="4D4B2240" w:rsidR="000231F4" w:rsidRDefault="000231F4" w:rsidP="005D7AB3">
      <w:pPr>
        <w:jc w:val="both"/>
        <w:rPr>
          <w:rFonts w:cstheme="minorHAnsi"/>
        </w:rPr>
      </w:pPr>
    </w:p>
    <w:p w14:paraId="5ACAA9E6" w14:textId="77777777" w:rsidR="00CE14CB" w:rsidRDefault="00CE14CB" w:rsidP="00154E47">
      <w:pPr>
        <w:jc w:val="both"/>
        <w:rPr>
          <w:rFonts w:cstheme="minorHAnsi"/>
        </w:rPr>
      </w:pPr>
      <w:r>
        <w:rPr>
          <w:rFonts w:cstheme="minorHAnsi"/>
        </w:rPr>
        <w:br w:type="page"/>
      </w:r>
    </w:p>
    <w:p w14:paraId="2BE4C5AE" w14:textId="77777777" w:rsidR="00CE14CB" w:rsidRDefault="00CE14CB" w:rsidP="00950F0F">
      <w:pPr>
        <w:pStyle w:val="Sinespaciado"/>
        <w:jc w:val="both"/>
        <w:rPr>
          <w:rFonts w:cstheme="minorHAnsi"/>
        </w:rPr>
        <w:sectPr w:rsidR="00CE14C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14:paraId="23657EFB" w14:textId="2B7640E0" w:rsidR="00E52AD6" w:rsidRDefault="00C65ADB">
      <w:pPr>
        <w:rPr>
          <w:rFonts w:cstheme="minorHAnsi"/>
          <w:b/>
        </w:rPr>
      </w:pPr>
      <w:r w:rsidRPr="00C65ADB">
        <w:rPr>
          <w:noProof/>
        </w:rPr>
        <w:lastRenderedPageBreak/>
        <w:drawing>
          <wp:anchor distT="0" distB="0" distL="114300" distR="114300" simplePos="0" relativeHeight="251670528" behindDoc="0" locked="0" layoutInCell="1" allowOverlap="1" wp14:anchorId="686BA761" wp14:editId="6FD3B827">
            <wp:simplePos x="0" y="0"/>
            <wp:positionH relativeFrom="column">
              <wp:posOffset>-836820</wp:posOffset>
            </wp:positionH>
            <wp:positionV relativeFrom="paragraph">
              <wp:posOffset>9193</wp:posOffset>
            </wp:positionV>
            <wp:extent cx="10544364" cy="4627659"/>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65199" cy="4636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026EE" w14:textId="77777777" w:rsidR="00E52AD6" w:rsidRDefault="00E52AD6">
      <w:pPr>
        <w:rPr>
          <w:rFonts w:cstheme="minorHAnsi"/>
          <w:b/>
        </w:rPr>
      </w:pPr>
      <w:r>
        <w:rPr>
          <w:rFonts w:cstheme="minorHAnsi"/>
          <w:b/>
        </w:rPr>
        <w:br w:type="page"/>
      </w:r>
    </w:p>
    <w:p w14:paraId="5683CCB2" w14:textId="7E73C26A" w:rsidR="007372E3" w:rsidRDefault="0095698E">
      <w:pPr>
        <w:rPr>
          <w:rFonts w:cstheme="minorHAnsi"/>
          <w:b/>
        </w:rPr>
      </w:pPr>
      <w:r w:rsidRPr="0095698E">
        <w:lastRenderedPageBreak/>
        <w:drawing>
          <wp:anchor distT="0" distB="0" distL="114300" distR="114300" simplePos="0" relativeHeight="251672576" behindDoc="0" locked="0" layoutInCell="1" allowOverlap="1" wp14:anchorId="3E3B733D" wp14:editId="301F3A65">
            <wp:simplePos x="0" y="0"/>
            <wp:positionH relativeFrom="column">
              <wp:posOffset>-569741</wp:posOffset>
            </wp:positionH>
            <wp:positionV relativeFrom="paragraph">
              <wp:posOffset>-285457</wp:posOffset>
            </wp:positionV>
            <wp:extent cx="8763914" cy="6253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914" cy="625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9F005" w14:textId="7EB13411" w:rsidR="00B5660C" w:rsidRDefault="00B5660C">
      <w:pPr>
        <w:rPr>
          <w:rFonts w:cstheme="minorHAnsi"/>
          <w:b/>
        </w:rPr>
      </w:pPr>
      <w:r>
        <w:rPr>
          <w:rFonts w:cstheme="minorHAnsi"/>
          <w:b/>
        </w:rPr>
        <w:br w:type="page"/>
      </w:r>
    </w:p>
    <w:p w14:paraId="6230C39E" w14:textId="4011C260" w:rsidR="00B5660C" w:rsidRDefault="0095698E">
      <w:pPr>
        <w:rPr>
          <w:rFonts w:cstheme="minorHAnsi"/>
          <w:b/>
        </w:rPr>
      </w:pPr>
      <w:r w:rsidRPr="0095698E">
        <w:lastRenderedPageBreak/>
        <w:drawing>
          <wp:anchor distT="0" distB="0" distL="114300" distR="114300" simplePos="0" relativeHeight="251673600" behindDoc="0" locked="0" layoutInCell="1" allowOverlap="1" wp14:anchorId="5924E64F" wp14:editId="3F77FD5F">
            <wp:simplePos x="0" y="0"/>
            <wp:positionH relativeFrom="column">
              <wp:posOffset>-534376</wp:posOffset>
            </wp:positionH>
            <wp:positionV relativeFrom="paragraph">
              <wp:posOffset>-708660</wp:posOffset>
            </wp:positionV>
            <wp:extent cx="5842886" cy="6881739"/>
            <wp:effectExtent l="0" t="0" r="571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886" cy="68817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7CBF1" w14:textId="52988421" w:rsidR="007372E3" w:rsidRDefault="007372E3">
      <w:pPr>
        <w:rPr>
          <w:rFonts w:cstheme="minorHAnsi"/>
          <w:b/>
        </w:rPr>
      </w:pPr>
    </w:p>
    <w:p w14:paraId="110A3A31" w14:textId="7D3CE9E7" w:rsidR="007372E3" w:rsidRDefault="007372E3">
      <w:pPr>
        <w:rPr>
          <w:rFonts w:cstheme="minorHAnsi"/>
          <w:b/>
        </w:rPr>
      </w:pPr>
    </w:p>
    <w:p w14:paraId="1FCF5379" w14:textId="77777777" w:rsidR="007372E3" w:rsidRDefault="007372E3">
      <w:pPr>
        <w:rPr>
          <w:rFonts w:cstheme="minorHAnsi"/>
          <w:b/>
        </w:rPr>
      </w:pPr>
      <w:r>
        <w:rPr>
          <w:rFonts w:cstheme="minorHAnsi"/>
          <w:b/>
        </w:rPr>
        <w:br w:type="page"/>
      </w:r>
    </w:p>
    <w:p w14:paraId="5636E14D" w14:textId="0AC04DD6" w:rsidR="007372E3" w:rsidRDefault="0095698E">
      <w:pPr>
        <w:rPr>
          <w:rFonts w:cstheme="minorHAnsi"/>
          <w:b/>
        </w:rPr>
      </w:pPr>
      <w:r w:rsidRPr="0095698E">
        <w:lastRenderedPageBreak/>
        <w:drawing>
          <wp:anchor distT="0" distB="0" distL="114300" distR="114300" simplePos="0" relativeHeight="251674624" behindDoc="0" locked="0" layoutInCell="1" allowOverlap="1" wp14:anchorId="52B9F07B" wp14:editId="5DC3F173">
            <wp:simplePos x="0" y="0"/>
            <wp:positionH relativeFrom="column">
              <wp:posOffset>-584542</wp:posOffset>
            </wp:positionH>
            <wp:positionV relativeFrom="paragraph">
              <wp:posOffset>-728931</wp:posOffset>
            </wp:positionV>
            <wp:extent cx="5788855" cy="6941423"/>
            <wp:effectExtent l="0" t="0" r="254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8855" cy="6941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7E7E6" w14:textId="245D90B8" w:rsidR="007372E3" w:rsidRDefault="007372E3">
      <w:pPr>
        <w:rPr>
          <w:rFonts w:cstheme="minorHAnsi"/>
          <w:b/>
        </w:rPr>
      </w:pPr>
      <w:r>
        <w:rPr>
          <w:rFonts w:cstheme="minorHAnsi"/>
          <w:b/>
        </w:rPr>
        <w:br w:type="page"/>
      </w:r>
    </w:p>
    <w:p w14:paraId="3E15D8F5" w14:textId="4B0C02FF" w:rsidR="007372E3" w:rsidRDefault="0095698E">
      <w:pPr>
        <w:rPr>
          <w:rFonts w:cstheme="minorHAnsi"/>
          <w:b/>
        </w:rPr>
      </w:pPr>
      <w:r w:rsidRPr="0095698E">
        <w:lastRenderedPageBreak/>
        <w:drawing>
          <wp:anchor distT="0" distB="0" distL="114300" distR="114300" simplePos="0" relativeHeight="251675648" behindDoc="0" locked="0" layoutInCell="1" allowOverlap="1" wp14:anchorId="70879D08" wp14:editId="26CCEC2E">
            <wp:simplePos x="0" y="0"/>
            <wp:positionH relativeFrom="column">
              <wp:posOffset>-723754</wp:posOffset>
            </wp:positionH>
            <wp:positionV relativeFrom="paragraph">
              <wp:posOffset>-313690</wp:posOffset>
            </wp:positionV>
            <wp:extent cx="8891270" cy="6160072"/>
            <wp:effectExtent l="0" t="0" r="508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1270" cy="6160072"/>
                    </a:xfrm>
                    <a:prstGeom prst="rect">
                      <a:avLst/>
                    </a:prstGeom>
                    <a:noFill/>
                    <a:ln>
                      <a:noFill/>
                    </a:ln>
                  </pic:spPr>
                </pic:pic>
              </a:graphicData>
            </a:graphic>
          </wp:anchor>
        </w:drawing>
      </w:r>
    </w:p>
    <w:p w14:paraId="60E2047B" w14:textId="77777777" w:rsidR="007372E3" w:rsidRDefault="007372E3">
      <w:pPr>
        <w:rPr>
          <w:rFonts w:cstheme="minorHAnsi"/>
          <w:b/>
        </w:rPr>
      </w:pPr>
      <w:r>
        <w:rPr>
          <w:rFonts w:cstheme="minorHAnsi"/>
          <w:b/>
        </w:rPr>
        <w:br w:type="page"/>
      </w:r>
    </w:p>
    <w:p w14:paraId="54B8E273" w14:textId="0AA3D355" w:rsidR="0087314F" w:rsidRDefault="004A692B">
      <w:pPr>
        <w:rPr>
          <w:rFonts w:cstheme="minorHAnsi"/>
          <w:b/>
        </w:rPr>
      </w:pPr>
      <w:r w:rsidRPr="004A692B">
        <w:rPr>
          <w:noProof/>
        </w:rPr>
        <w:lastRenderedPageBreak/>
        <w:drawing>
          <wp:anchor distT="0" distB="0" distL="114300" distR="114300" simplePos="0" relativeHeight="251671552" behindDoc="0" locked="0" layoutInCell="1" allowOverlap="1" wp14:anchorId="2061FF47" wp14:editId="1EB4BE2A">
            <wp:simplePos x="0" y="0"/>
            <wp:positionH relativeFrom="column">
              <wp:posOffset>-733453</wp:posOffset>
            </wp:positionH>
            <wp:positionV relativeFrom="paragraph">
              <wp:posOffset>25096</wp:posOffset>
            </wp:positionV>
            <wp:extent cx="10381991" cy="5184251"/>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94629" cy="519056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7314F" w:rsidSect="00CE14CB">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11B0" w14:textId="77777777" w:rsidR="00181EC6" w:rsidRDefault="00181EC6" w:rsidP="00A50615">
      <w:pPr>
        <w:spacing w:after="0" w:line="240" w:lineRule="auto"/>
      </w:pPr>
      <w:r>
        <w:separator/>
      </w:r>
    </w:p>
  </w:endnote>
  <w:endnote w:type="continuationSeparator" w:id="0">
    <w:p w14:paraId="4669E297" w14:textId="77777777" w:rsidR="00181EC6" w:rsidRDefault="00181EC6" w:rsidP="00A5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46AD" w14:textId="77777777" w:rsidR="00226E07" w:rsidRDefault="00226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70367"/>
      <w:docPartObj>
        <w:docPartGallery w:val="Page Numbers (Bottom of Page)"/>
        <w:docPartUnique/>
      </w:docPartObj>
    </w:sdtPr>
    <w:sdtEndPr/>
    <w:sdtContent>
      <w:p w14:paraId="7F8B5626" w14:textId="77777777" w:rsidR="00243CFB" w:rsidRDefault="00243CFB">
        <w:pPr>
          <w:pStyle w:val="Piedepgina"/>
          <w:jc w:val="right"/>
        </w:pPr>
        <w:r>
          <w:fldChar w:fldCharType="begin"/>
        </w:r>
        <w:r>
          <w:instrText>PAGE   \* MERGEFORMAT</w:instrText>
        </w:r>
        <w:r>
          <w:fldChar w:fldCharType="separate"/>
        </w:r>
        <w:r>
          <w:rPr>
            <w:noProof/>
          </w:rPr>
          <w:t>9</w:t>
        </w:r>
        <w:r>
          <w:fldChar w:fldCharType="end"/>
        </w:r>
      </w:p>
    </w:sdtContent>
  </w:sdt>
  <w:p w14:paraId="1F74E106" w14:textId="61C21A6E" w:rsidR="00243CFB" w:rsidRDefault="00243CFB" w:rsidP="006A3A96">
    <w:pPr>
      <w:pStyle w:val="Piedepgina"/>
      <w:tabs>
        <w:tab w:val="clear" w:pos="4252"/>
        <w:tab w:val="clear" w:pos="8504"/>
        <w:tab w:val="left" w:pos="12497"/>
      </w:tabs>
    </w:pPr>
    <w:r>
      <w:tab/>
    </w:r>
  </w:p>
  <w:p w14:paraId="6E7CCF71" w14:textId="77777777" w:rsidR="00243CFB" w:rsidRDefault="00243CFB" w:rsidP="006A3A96">
    <w:pPr>
      <w:pStyle w:val="Piedepgina"/>
      <w:tabs>
        <w:tab w:val="clear" w:pos="4252"/>
        <w:tab w:val="clear" w:pos="8504"/>
        <w:tab w:val="left" w:pos="1249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C08D" w14:textId="77777777" w:rsidR="00226E07" w:rsidRDefault="00226E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A2A3" w14:textId="77777777" w:rsidR="00181EC6" w:rsidRDefault="00181EC6" w:rsidP="00A50615">
      <w:pPr>
        <w:spacing w:after="0" w:line="240" w:lineRule="auto"/>
      </w:pPr>
      <w:r>
        <w:separator/>
      </w:r>
    </w:p>
  </w:footnote>
  <w:footnote w:type="continuationSeparator" w:id="0">
    <w:p w14:paraId="5FD8673D" w14:textId="77777777" w:rsidR="00181EC6" w:rsidRDefault="00181EC6" w:rsidP="00A50615">
      <w:pPr>
        <w:spacing w:after="0" w:line="240" w:lineRule="auto"/>
      </w:pPr>
      <w:r>
        <w:continuationSeparator/>
      </w:r>
    </w:p>
  </w:footnote>
  <w:footnote w:id="1">
    <w:p w14:paraId="6676AA99" w14:textId="77777777" w:rsidR="00243CFB" w:rsidRPr="005A58A7" w:rsidRDefault="00243CFB" w:rsidP="005B64FC">
      <w:pPr>
        <w:pStyle w:val="Sinespaciado"/>
        <w:jc w:val="both"/>
        <w:rPr>
          <w:sz w:val="20"/>
        </w:rPr>
      </w:pPr>
      <w:r w:rsidRPr="005A58A7">
        <w:rPr>
          <w:rStyle w:val="Refdenotaalpie"/>
          <w:b/>
          <w:color w:val="FF0066"/>
          <w:sz w:val="20"/>
        </w:rPr>
        <w:footnoteRef/>
      </w:r>
      <w:r w:rsidRPr="005A58A7">
        <w:rPr>
          <w:b/>
          <w:color w:val="FF0066"/>
          <w:sz w:val="20"/>
        </w:rPr>
        <w:t xml:space="preserve"> </w:t>
      </w:r>
      <w:r w:rsidRPr="005A58A7">
        <w:rPr>
          <w:sz w:val="20"/>
        </w:rPr>
        <w:t>Sánchez-Robles GA.</w:t>
      </w:r>
      <w:r w:rsidRPr="005A58A7">
        <w:rPr>
          <w:i/>
          <w:sz w:val="20"/>
        </w:rPr>
        <w:t xml:space="preserve"> </w:t>
      </w:r>
      <w:r w:rsidRPr="005A58A7">
        <w:rPr>
          <w:bCs/>
          <w:i/>
          <w:sz w:val="20"/>
        </w:rPr>
        <w:t>PUNTO DE VISTA: Las variables combinadas son conceptos oscuros y confusos, y no experienciales</w:t>
      </w:r>
      <w:r w:rsidRPr="005A58A7">
        <w:rPr>
          <w:bCs/>
          <w:sz w:val="20"/>
        </w:rPr>
        <w:t xml:space="preserve">. Web evalmed.es, 21-may-2021. Disponible en: </w:t>
      </w:r>
      <w:hyperlink r:id="rId1" w:history="1">
        <w:r w:rsidRPr="005A58A7">
          <w:rPr>
            <w:rStyle w:val="Hipervnculo"/>
            <w:bCs/>
            <w:sz w:val="20"/>
          </w:rPr>
          <w:t>http://evalmed.es/2021/05/21/pv-las-variables-combinadas-son-no-experienciales/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FA9C" w14:textId="77777777" w:rsidR="00226E07" w:rsidRDefault="00226E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D292" w14:textId="56D9A1CC" w:rsidR="00243CFB" w:rsidRPr="0035564C" w:rsidRDefault="00B049AB" w:rsidP="00547BAC">
    <w:pPr>
      <w:pStyle w:val="Encabezado"/>
      <w:jc w:val="right"/>
      <w:rPr>
        <w:i/>
        <w:sz w:val="16"/>
      </w:rPr>
    </w:pPr>
    <w:r>
      <w:rPr>
        <w:i/>
        <w:sz w:val="16"/>
      </w:rPr>
      <w:t>Evaluador/a.….</w:t>
    </w:r>
  </w:p>
  <w:p w14:paraId="06C8ECFB" w14:textId="74512216" w:rsidR="00243CFB" w:rsidRPr="00154E47" w:rsidRDefault="00896EBD" w:rsidP="00547BAC">
    <w:pPr>
      <w:pStyle w:val="Encabezado"/>
      <w:jc w:val="right"/>
      <w:rPr>
        <w:i/>
        <w:sz w:val="16"/>
      </w:rPr>
    </w:pPr>
    <w:r>
      <w:rPr>
        <w:i/>
        <w:sz w:val="16"/>
      </w:rPr>
      <w:t>ERC</w:t>
    </w:r>
    <w:r w:rsidR="007372E3">
      <w:rPr>
        <w:i/>
        <w:sz w:val="16"/>
      </w:rPr>
      <w:t xml:space="preserve"> </w:t>
    </w:r>
    <w:r>
      <w:rPr>
        <w:i/>
        <w:sz w:val="16"/>
      </w:rPr>
      <w:t>FGe</w:t>
    </w:r>
    <w:r w:rsidR="00C84FBC">
      <w:rPr>
        <w:i/>
        <w:sz w:val="16"/>
      </w:rPr>
      <w:t xml:space="preserve"> 37</w:t>
    </w:r>
    <w:r w:rsidR="007372E3">
      <w:rPr>
        <w:i/>
        <w:sz w:val="16"/>
      </w:rPr>
      <w:t xml:space="preserve">, +-DM2 </w:t>
    </w:r>
    <w:r w:rsidR="00243CFB" w:rsidRPr="00DC27A6">
      <w:rPr>
        <w:i/>
        <w:sz w:val="16"/>
      </w:rPr>
      <w:t>[</w:t>
    </w:r>
    <w:proofErr w:type="spellStart"/>
    <w:r>
      <w:rPr>
        <w:i/>
        <w:sz w:val="16"/>
      </w:rPr>
      <w:t>Em</w:t>
    </w:r>
    <w:r w:rsidR="00243CFB" w:rsidRPr="00DC27A6">
      <w:rPr>
        <w:i/>
        <w:sz w:val="16"/>
      </w:rPr>
      <w:t>pagl</w:t>
    </w:r>
    <w:r w:rsidR="00243CFB">
      <w:rPr>
        <w:i/>
        <w:sz w:val="16"/>
      </w:rPr>
      <w:t>if</w:t>
    </w:r>
    <w:proofErr w:type="spellEnd"/>
    <w:r w:rsidR="00243CFB" w:rsidRPr="00DC27A6">
      <w:rPr>
        <w:i/>
        <w:sz w:val="16"/>
      </w:rPr>
      <w:t xml:space="preserve"> vs </w:t>
    </w:r>
    <w:proofErr w:type="spellStart"/>
    <w:r w:rsidR="00243CFB" w:rsidRPr="00DC27A6">
      <w:rPr>
        <w:i/>
        <w:sz w:val="16"/>
      </w:rPr>
      <w:t>Pl</w:t>
    </w:r>
    <w:proofErr w:type="spellEnd"/>
    <w:r w:rsidR="00243CFB" w:rsidRPr="00DC27A6">
      <w:rPr>
        <w:i/>
        <w:sz w:val="16"/>
      </w:rPr>
      <w:t>], 2</w:t>
    </w:r>
    <w:r>
      <w:rPr>
        <w:i/>
        <w:sz w:val="16"/>
      </w:rPr>
      <w:t>4</w:t>
    </w:r>
    <w:r w:rsidR="00243CFB" w:rsidRPr="00DC27A6">
      <w:rPr>
        <w:i/>
        <w:sz w:val="16"/>
      </w:rPr>
      <w:t>m,</w:t>
    </w:r>
    <w:r>
      <w:rPr>
        <w:i/>
        <w:sz w:val="16"/>
      </w:rPr>
      <w:t xml:space="preserve"> </w:t>
    </w:r>
    <w:r w:rsidR="00226E07">
      <w:rPr>
        <w:i/>
        <w:sz w:val="16"/>
      </w:rPr>
      <w:t>fecha….</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55D1" w14:textId="77777777" w:rsidR="00226E07" w:rsidRDefault="00226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5713"/>
    <w:multiLevelType w:val="hybridMultilevel"/>
    <w:tmpl w:val="ED34A2B8"/>
    <w:lvl w:ilvl="0" w:tplc="28D6FE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2E"/>
    <w:rsid w:val="000039CC"/>
    <w:rsid w:val="000069E3"/>
    <w:rsid w:val="000075E3"/>
    <w:rsid w:val="000075F0"/>
    <w:rsid w:val="000109D1"/>
    <w:rsid w:val="00016248"/>
    <w:rsid w:val="00016430"/>
    <w:rsid w:val="000231F4"/>
    <w:rsid w:val="00025716"/>
    <w:rsid w:val="00026E43"/>
    <w:rsid w:val="0002727C"/>
    <w:rsid w:val="000323AB"/>
    <w:rsid w:val="000344EE"/>
    <w:rsid w:val="00037343"/>
    <w:rsid w:val="0004392B"/>
    <w:rsid w:val="000448F4"/>
    <w:rsid w:val="0005494E"/>
    <w:rsid w:val="0005699D"/>
    <w:rsid w:val="00056B73"/>
    <w:rsid w:val="0006127F"/>
    <w:rsid w:val="00062A26"/>
    <w:rsid w:val="00062BDE"/>
    <w:rsid w:val="000648D2"/>
    <w:rsid w:val="00064AC5"/>
    <w:rsid w:val="0007185D"/>
    <w:rsid w:val="00074413"/>
    <w:rsid w:val="00077279"/>
    <w:rsid w:val="0007742B"/>
    <w:rsid w:val="00081225"/>
    <w:rsid w:val="000865E1"/>
    <w:rsid w:val="0009051D"/>
    <w:rsid w:val="000923ED"/>
    <w:rsid w:val="00095651"/>
    <w:rsid w:val="00096108"/>
    <w:rsid w:val="000A4B61"/>
    <w:rsid w:val="000A5471"/>
    <w:rsid w:val="000A6736"/>
    <w:rsid w:val="000A6850"/>
    <w:rsid w:val="000A6F6A"/>
    <w:rsid w:val="000B0340"/>
    <w:rsid w:val="000B1BE2"/>
    <w:rsid w:val="000B3773"/>
    <w:rsid w:val="000B3FA3"/>
    <w:rsid w:val="000C381B"/>
    <w:rsid w:val="000C3D96"/>
    <w:rsid w:val="000C499C"/>
    <w:rsid w:val="000D3BEC"/>
    <w:rsid w:val="000D3EB0"/>
    <w:rsid w:val="000D6650"/>
    <w:rsid w:val="000E00BA"/>
    <w:rsid w:val="000E5F25"/>
    <w:rsid w:val="000E66DA"/>
    <w:rsid w:val="000E66E5"/>
    <w:rsid w:val="000E7F81"/>
    <w:rsid w:val="000F3A19"/>
    <w:rsid w:val="000F40C7"/>
    <w:rsid w:val="000F7D98"/>
    <w:rsid w:val="00102C33"/>
    <w:rsid w:val="00103453"/>
    <w:rsid w:val="0010449C"/>
    <w:rsid w:val="00115F57"/>
    <w:rsid w:val="001171A8"/>
    <w:rsid w:val="00117D87"/>
    <w:rsid w:val="00121D5D"/>
    <w:rsid w:val="00123010"/>
    <w:rsid w:val="001323FE"/>
    <w:rsid w:val="00132853"/>
    <w:rsid w:val="00134C43"/>
    <w:rsid w:val="00135D95"/>
    <w:rsid w:val="00140180"/>
    <w:rsid w:val="00145022"/>
    <w:rsid w:val="00152508"/>
    <w:rsid w:val="00154E47"/>
    <w:rsid w:val="001559EF"/>
    <w:rsid w:val="00157DB3"/>
    <w:rsid w:val="00162051"/>
    <w:rsid w:val="00162DC1"/>
    <w:rsid w:val="00163891"/>
    <w:rsid w:val="0016549B"/>
    <w:rsid w:val="001704F8"/>
    <w:rsid w:val="00172A3E"/>
    <w:rsid w:val="00175F8C"/>
    <w:rsid w:val="0017704A"/>
    <w:rsid w:val="001773EC"/>
    <w:rsid w:val="00181EC6"/>
    <w:rsid w:val="00183FA4"/>
    <w:rsid w:val="00184624"/>
    <w:rsid w:val="00186F33"/>
    <w:rsid w:val="00191D2F"/>
    <w:rsid w:val="00191E66"/>
    <w:rsid w:val="00192496"/>
    <w:rsid w:val="00193DC6"/>
    <w:rsid w:val="001A0373"/>
    <w:rsid w:val="001A138F"/>
    <w:rsid w:val="001A16C4"/>
    <w:rsid w:val="001A1EDA"/>
    <w:rsid w:val="001A267F"/>
    <w:rsid w:val="001A5768"/>
    <w:rsid w:val="001A5A08"/>
    <w:rsid w:val="001B2D21"/>
    <w:rsid w:val="001C0C43"/>
    <w:rsid w:val="001C264B"/>
    <w:rsid w:val="001C3AD3"/>
    <w:rsid w:val="001C3CFA"/>
    <w:rsid w:val="001C673A"/>
    <w:rsid w:val="001D123C"/>
    <w:rsid w:val="001D70D9"/>
    <w:rsid w:val="001E1E6F"/>
    <w:rsid w:val="001E44C4"/>
    <w:rsid w:val="001F0173"/>
    <w:rsid w:val="001F6FC0"/>
    <w:rsid w:val="001F7659"/>
    <w:rsid w:val="00201138"/>
    <w:rsid w:val="00201A3A"/>
    <w:rsid w:val="002028BD"/>
    <w:rsid w:val="00203784"/>
    <w:rsid w:val="00203B8C"/>
    <w:rsid w:val="002043A6"/>
    <w:rsid w:val="00205D71"/>
    <w:rsid w:val="00210439"/>
    <w:rsid w:val="00210A3E"/>
    <w:rsid w:val="00211D6C"/>
    <w:rsid w:val="0021587A"/>
    <w:rsid w:val="00217959"/>
    <w:rsid w:val="002254A9"/>
    <w:rsid w:val="00226CF6"/>
    <w:rsid w:val="00226E07"/>
    <w:rsid w:val="00230122"/>
    <w:rsid w:val="0023016B"/>
    <w:rsid w:val="00232E33"/>
    <w:rsid w:val="00233497"/>
    <w:rsid w:val="002359D1"/>
    <w:rsid w:val="002366D7"/>
    <w:rsid w:val="00241D10"/>
    <w:rsid w:val="00243CFB"/>
    <w:rsid w:val="00247847"/>
    <w:rsid w:val="00251704"/>
    <w:rsid w:val="00251C7F"/>
    <w:rsid w:val="002538A9"/>
    <w:rsid w:val="00253A19"/>
    <w:rsid w:val="00253C38"/>
    <w:rsid w:val="00254A29"/>
    <w:rsid w:val="00257613"/>
    <w:rsid w:val="00262572"/>
    <w:rsid w:val="00270261"/>
    <w:rsid w:val="00271617"/>
    <w:rsid w:val="00272EC4"/>
    <w:rsid w:val="00273CC9"/>
    <w:rsid w:val="0027469C"/>
    <w:rsid w:val="00274D28"/>
    <w:rsid w:val="00275519"/>
    <w:rsid w:val="00275DE7"/>
    <w:rsid w:val="00287AEA"/>
    <w:rsid w:val="00294F1B"/>
    <w:rsid w:val="002A2A94"/>
    <w:rsid w:val="002A5EC2"/>
    <w:rsid w:val="002A6478"/>
    <w:rsid w:val="002A7D04"/>
    <w:rsid w:val="002B265A"/>
    <w:rsid w:val="002B3B01"/>
    <w:rsid w:val="002C1C9E"/>
    <w:rsid w:val="002C4FCB"/>
    <w:rsid w:val="002C55D0"/>
    <w:rsid w:val="002D00A5"/>
    <w:rsid w:val="002D52E6"/>
    <w:rsid w:val="002D6842"/>
    <w:rsid w:val="002E1F42"/>
    <w:rsid w:val="002E204B"/>
    <w:rsid w:val="002E2EF0"/>
    <w:rsid w:val="002E2F02"/>
    <w:rsid w:val="002E42AD"/>
    <w:rsid w:val="002E7CF5"/>
    <w:rsid w:val="002F46A2"/>
    <w:rsid w:val="002F4C4B"/>
    <w:rsid w:val="002F577D"/>
    <w:rsid w:val="003000D5"/>
    <w:rsid w:val="00303D00"/>
    <w:rsid w:val="0030466E"/>
    <w:rsid w:val="003055E5"/>
    <w:rsid w:val="00311405"/>
    <w:rsid w:val="00314512"/>
    <w:rsid w:val="00315462"/>
    <w:rsid w:val="00315744"/>
    <w:rsid w:val="00316B2F"/>
    <w:rsid w:val="0032431C"/>
    <w:rsid w:val="00324D4A"/>
    <w:rsid w:val="003258B6"/>
    <w:rsid w:val="00326E77"/>
    <w:rsid w:val="00335452"/>
    <w:rsid w:val="003356CA"/>
    <w:rsid w:val="00336C34"/>
    <w:rsid w:val="00342284"/>
    <w:rsid w:val="0035009C"/>
    <w:rsid w:val="00350D3D"/>
    <w:rsid w:val="0035564C"/>
    <w:rsid w:val="0036025E"/>
    <w:rsid w:val="0036162C"/>
    <w:rsid w:val="00361EDF"/>
    <w:rsid w:val="0036460D"/>
    <w:rsid w:val="00365ED3"/>
    <w:rsid w:val="0037108A"/>
    <w:rsid w:val="003743E5"/>
    <w:rsid w:val="00377C82"/>
    <w:rsid w:val="0038476B"/>
    <w:rsid w:val="003851BA"/>
    <w:rsid w:val="0038566E"/>
    <w:rsid w:val="00385686"/>
    <w:rsid w:val="00390F1A"/>
    <w:rsid w:val="003940A4"/>
    <w:rsid w:val="00394BB5"/>
    <w:rsid w:val="0039593C"/>
    <w:rsid w:val="00396407"/>
    <w:rsid w:val="003A0911"/>
    <w:rsid w:val="003A15DC"/>
    <w:rsid w:val="003A1DAB"/>
    <w:rsid w:val="003A250B"/>
    <w:rsid w:val="003A2A2F"/>
    <w:rsid w:val="003A593E"/>
    <w:rsid w:val="003B025F"/>
    <w:rsid w:val="003B0503"/>
    <w:rsid w:val="003B1FDA"/>
    <w:rsid w:val="003B3139"/>
    <w:rsid w:val="003B50A3"/>
    <w:rsid w:val="003B5B8F"/>
    <w:rsid w:val="003B72B7"/>
    <w:rsid w:val="003C1253"/>
    <w:rsid w:val="003C137B"/>
    <w:rsid w:val="003C2424"/>
    <w:rsid w:val="003C2B5C"/>
    <w:rsid w:val="003C7F08"/>
    <w:rsid w:val="003D46F5"/>
    <w:rsid w:val="003D4F12"/>
    <w:rsid w:val="003D4FF4"/>
    <w:rsid w:val="003D526F"/>
    <w:rsid w:val="003D7235"/>
    <w:rsid w:val="003E55DB"/>
    <w:rsid w:val="003E5A8F"/>
    <w:rsid w:val="003E6028"/>
    <w:rsid w:val="003E66CA"/>
    <w:rsid w:val="003E6B9D"/>
    <w:rsid w:val="003E6E17"/>
    <w:rsid w:val="003E7889"/>
    <w:rsid w:val="0040092D"/>
    <w:rsid w:val="004046C1"/>
    <w:rsid w:val="00405459"/>
    <w:rsid w:val="0040577A"/>
    <w:rsid w:val="00405FEE"/>
    <w:rsid w:val="00407655"/>
    <w:rsid w:val="00411303"/>
    <w:rsid w:val="004139EE"/>
    <w:rsid w:val="00413D81"/>
    <w:rsid w:val="00416583"/>
    <w:rsid w:val="00417FB0"/>
    <w:rsid w:val="00420D99"/>
    <w:rsid w:val="00421158"/>
    <w:rsid w:val="004258CF"/>
    <w:rsid w:val="00427A36"/>
    <w:rsid w:val="00431652"/>
    <w:rsid w:val="004329A8"/>
    <w:rsid w:val="00435D24"/>
    <w:rsid w:val="004418E2"/>
    <w:rsid w:val="004455C6"/>
    <w:rsid w:val="004505E6"/>
    <w:rsid w:val="0045630B"/>
    <w:rsid w:val="00457687"/>
    <w:rsid w:val="004609F3"/>
    <w:rsid w:val="00470C25"/>
    <w:rsid w:val="004720ED"/>
    <w:rsid w:val="004800D7"/>
    <w:rsid w:val="004820EC"/>
    <w:rsid w:val="004845EC"/>
    <w:rsid w:val="00484BD7"/>
    <w:rsid w:val="00484D66"/>
    <w:rsid w:val="00493472"/>
    <w:rsid w:val="00493653"/>
    <w:rsid w:val="00494BB3"/>
    <w:rsid w:val="004963E5"/>
    <w:rsid w:val="004A1060"/>
    <w:rsid w:val="004A2D89"/>
    <w:rsid w:val="004A3E3D"/>
    <w:rsid w:val="004A692B"/>
    <w:rsid w:val="004A70C0"/>
    <w:rsid w:val="004B5A0F"/>
    <w:rsid w:val="004C0265"/>
    <w:rsid w:val="004C0268"/>
    <w:rsid w:val="004C2B30"/>
    <w:rsid w:val="004C5D5F"/>
    <w:rsid w:val="004C65BA"/>
    <w:rsid w:val="004C6DFF"/>
    <w:rsid w:val="004C746F"/>
    <w:rsid w:val="004C75C5"/>
    <w:rsid w:val="004D1095"/>
    <w:rsid w:val="004D1FFF"/>
    <w:rsid w:val="004D2D0C"/>
    <w:rsid w:val="004D3468"/>
    <w:rsid w:val="004D35F9"/>
    <w:rsid w:val="004D71B1"/>
    <w:rsid w:val="004D751A"/>
    <w:rsid w:val="004E190F"/>
    <w:rsid w:val="004E2004"/>
    <w:rsid w:val="004E295A"/>
    <w:rsid w:val="004E297A"/>
    <w:rsid w:val="004E4330"/>
    <w:rsid w:val="004E72DC"/>
    <w:rsid w:val="004F1308"/>
    <w:rsid w:val="004F6663"/>
    <w:rsid w:val="004F7920"/>
    <w:rsid w:val="005018A7"/>
    <w:rsid w:val="00501E64"/>
    <w:rsid w:val="00503042"/>
    <w:rsid w:val="00505A55"/>
    <w:rsid w:val="00506419"/>
    <w:rsid w:val="005116B5"/>
    <w:rsid w:val="00511C37"/>
    <w:rsid w:val="00512CF7"/>
    <w:rsid w:val="00513849"/>
    <w:rsid w:val="005172C5"/>
    <w:rsid w:val="00521B94"/>
    <w:rsid w:val="00522CE9"/>
    <w:rsid w:val="005244BC"/>
    <w:rsid w:val="00532ED1"/>
    <w:rsid w:val="00535165"/>
    <w:rsid w:val="00537E87"/>
    <w:rsid w:val="00541812"/>
    <w:rsid w:val="00547BAC"/>
    <w:rsid w:val="005518D1"/>
    <w:rsid w:val="005555B2"/>
    <w:rsid w:val="00572B26"/>
    <w:rsid w:val="005732D9"/>
    <w:rsid w:val="0058085D"/>
    <w:rsid w:val="00582953"/>
    <w:rsid w:val="005838F0"/>
    <w:rsid w:val="00586918"/>
    <w:rsid w:val="00591A38"/>
    <w:rsid w:val="00596116"/>
    <w:rsid w:val="005969C3"/>
    <w:rsid w:val="00597A61"/>
    <w:rsid w:val="005A07F2"/>
    <w:rsid w:val="005A1D3D"/>
    <w:rsid w:val="005A2C7D"/>
    <w:rsid w:val="005A4EA2"/>
    <w:rsid w:val="005A58A7"/>
    <w:rsid w:val="005A6EAF"/>
    <w:rsid w:val="005A72C8"/>
    <w:rsid w:val="005B14C3"/>
    <w:rsid w:val="005B15AD"/>
    <w:rsid w:val="005B1803"/>
    <w:rsid w:val="005B3A56"/>
    <w:rsid w:val="005B48DC"/>
    <w:rsid w:val="005B5920"/>
    <w:rsid w:val="005B64FC"/>
    <w:rsid w:val="005B6B4D"/>
    <w:rsid w:val="005C0512"/>
    <w:rsid w:val="005C3800"/>
    <w:rsid w:val="005C4046"/>
    <w:rsid w:val="005C7FF8"/>
    <w:rsid w:val="005D41B3"/>
    <w:rsid w:val="005D7AB3"/>
    <w:rsid w:val="005E0704"/>
    <w:rsid w:val="005E1AAE"/>
    <w:rsid w:val="005E7073"/>
    <w:rsid w:val="005F5D37"/>
    <w:rsid w:val="005F63D8"/>
    <w:rsid w:val="005F70AB"/>
    <w:rsid w:val="005F7C8B"/>
    <w:rsid w:val="00601851"/>
    <w:rsid w:val="00606D9F"/>
    <w:rsid w:val="00607BF7"/>
    <w:rsid w:val="00610588"/>
    <w:rsid w:val="0061071F"/>
    <w:rsid w:val="00612537"/>
    <w:rsid w:val="0061286B"/>
    <w:rsid w:val="006143DA"/>
    <w:rsid w:val="00614653"/>
    <w:rsid w:val="006159DD"/>
    <w:rsid w:val="00615BF4"/>
    <w:rsid w:val="00617F20"/>
    <w:rsid w:val="0062125C"/>
    <w:rsid w:val="006213E6"/>
    <w:rsid w:val="0062282D"/>
    <w:rsid w:val="0063645D"/>
    <w:rsid w:val="00640291"/>
    <w:rsid w:val="006468A2"/>
    <w:rsid w:val="006474C9"/>
    <w:rsid w:val="0064773B"/>
    <w:rsid w:val="00651FCC"/>
    <w:rsid w:val="00652041"/>
    <w:rsid w:val="00652B1B"/>
    <w:rsid w:val="00654A6E"/>
    <w:rsid w:val="00657BFF"/>
    <w:rsid w:val="00665ECE"/>
    <w:rsid w:val="0067096B"/>
    <w:rsid w:val="0067518A"/>
    <w:rsid w:val="0067558E"/>
    <w:rsid w:val="00683E32"/>
    <w:rsid w:val="00691917"/>
    <w:rsid w:val="006928D1"/>
    <w:rsid w:val="006A28E3"/>
    <w:rsid w:val="006A3A96"/>
    <w:rsid w:val="006A3BEA"/>
    <w:rsid w:val="006A4C1A"/>
    <w:rsid w:val="006A6D1C"/>
    <w:rsid w:val="006A7F77"/>
    <w:rsid w:val="006B0828"/>
    <w:rsid w:val="006B5ACF"/>
    <w:rsid w:val="006B5E45"/>
    <w:rsid w:val="006B6A9A"/>
    <w:rsid w:val="006B7AB6"/>
    <w:rsid w:val="006C34B5"/>
    <w:rsid w:val="006C5867"/>
    <w:rsid w:val="006C6508"/>
    <w:rsid w:val="006C75FD"/>
    <w:rsid w:val="006D2089"/>
    <w:rsid w:val="006D4B14"/>
    <w:rsid w:val="006D7833"/>
    <w:rsid w:val="006D7BD3"/>
    <w:rsid w:val="006E0E4B"/>
    <w:rsid w:val="006E2238"/>
    <w:rsid w:val="006E4D34"/>
    <w:rsid w:val="006E6456"/>
    <w:rsid w:val="006F021B"/>
    <w:rsid w:val="006F593D"/>
    <w:rsid w:val="007038FA"/>
    <w:rsid w:val="00704904"/>
    <w:rsid w:val="0070627F"/>
    <w:rsid w:val="007069AC"/>
    <w:rsid w:val="00712496"/>
    <w:rsid w:val="00714754"/>
    <w:rsid w:val="00716D74"/>
    <w:rsid w:val="00720AAC"/>
    <w:rsid w:val="00722512"/>
    <w:rsid w:val="007228BE"/>
    <w:rsid w:val="00722DC7"/>
    <w:rsid w:val="007238E2"/>
    <w:rsid w:val="00724DCC"/>
    <w:rsid w:val="0073005C"/>
    <w:rsid w:val="007358D3"/>
    <w:rsid w:val="0073663B"/>
    <w:rsid w:val="007372E3"/>
    <w:rsid w:val="007418A0"/>
    <w:rsid w:val="00741BC7"/>
    <w:rsid w:val="00742C6B"/>
    <w:rsid w:val="00745541"/>
    <w:rsid w:val="00747E22"/>
    <w:rsid w:val="0075187C"/>
    <w:rsid w:val="007526FD"/>
    <w:rsid w:val="00752E88"/>
    <w:rsid w:val="00756206"/>
    <w:rsid w:val="00767939"/>
    <w:rsid w:val="00771468"/>
    <w:rsid w:val="007811B6"/>
    <w:rsid w:val="00785CF5"/>
    <w:rsid w:val="0078662B"/>
    <w:rsid w:val="00791FA8"/>
    <w:rsid w:val="0079254D"/>
    <w:rsid w:val="007931E3"/>
    <w:rsid w:val="00793802"/>
    <w:rsid w:val="00796455"/>
    <w:rsid w:val="00797B7C"/>
    <w:rsid w:val="007B2B2C"/>
    <w:rsid w:val="007B336A"/>
    <w:rsid w:val="007B3A49"/>
    <w:rsid w:val="007B3CB0"/>
    <w:rsid w:val="007B6964"/>
    <w:rsid w:val="007B7563"/>
    <w:rsid w:val="007C25CB"/>
    <w:rsid w:val="007E097D"/>
    <w:rsid w:val="007E35AC"/>
    <w:rsid w:val="007E4FBF"/>
    <w:rsid w:val="007E7104"/>
    <w:rsid w:val="007F02C9"/>
    <w:rsid w:val="007F122E"/>
    <w:rsid w:val="007F125F"/>
    <w:rsid w:val="007F2780"/>
    <w:rsid w:val="007F345F"/>
    <w:rsid w:val="007F38DD"/>
    <w:rsid w:val="007F45AB"/>
    <w:rsid w:val="007F64B2"/>
    <w:rsid w:val="007F67D3"/>
    <w:rsid w:val="00800096"/>
    <w:rsid w:val="00802AF3"/>
    <w:rsid w:val="00807BE9"/>
    <w:rsid w:val="0081016B"/>
    <w:rsid w:val="00810299"/>
    <w:rsid w:val="00812144"/>
    <w:rsid w:val="008178A8"/>
    <w:rsid w:val="008237F3"/>
    <w:rsid w:val="008240E6"/>
    <w:rsid w:val="0082426E"/>
    <w:rsid w:val="008355F1"/>
    <w:rsid w:val="00836830"/>
    <w:rsid w:val="00836838"/>
    <w:rsid w:val="0084117E"/>
    <w:rsid w:val="0084218A"/>
    <w:rsid w:val="008448C8"/>
    <w:rsid w:val="00847A3C"/>
    <w:rsid w:val="0085146B"/>
    <w:rsid w:val="00852851"/>
    <w:rsid w:val="0085398A"/>
    <w:rsid w:val="008566B8"/>
    <w:rsid w:val="00856AA7"/>
    <w:rsid w:val="008603C5"/>
    <w:rsid w:val="00861AB8"/>
    <w:rsid w:val="0086229C"/>
    <w:rsid w:val="00866757"/>
    <w:rsid w:val="00867A61"/>
    <w:rsid w:val="0087314F"/>
    <w:rsid w:val="008737F0"/>
    <w:rsid w:val="008740E0"/>
    <w:rsid w:val="008751EF"/>
    <w:rsid w:val="00882039"/>
    <w:rsid w:val="0089061E"/>
    <w:rsid w:val="008914D0"/>
    <w:rsid w:val="00891947"/>
    <w:rsid w:val="00895883"/>
    <w:rsid w:val="00896D4A"/>
    <w:rsid w:val="00896EBD"/>
    <w:rsid w:val="008A574A"/>
    <w:rsid w:val="008B051A"/>
    <w:rsid w:val="008B052D"/>
    <w:rsid w:val="008C3FF2"/>
    <w:rsid w:val="008D0915"/>
    <w:rsid w:val="008D1BB6"/>
    <w:rsid w:val="008D6EB2"/>
    <w:rsid w:val="008E087E"/>
    <w:rsid w:val="008E1D91"/>
    <w:rsid w:val="008E2B71"/>
    <w:rsid w:val="008F01CF"/>
    <w:rsid w:val="008F029E"/>
    <w:rsid w:val="008F210C"/>
    <w:rsid w:val="008F3286"/>
    <w:rsid w:val="008F33B6"/>
    <w:rsid w:val="008F5D43"/>
    <w:rsid w:val="009064BC"/>
    <w:rsid w:val="0091116D"/>
    <w:rsid w:val="00912428"/>
    <w:rsid w:val="009135C9"/>
    <w:rsid w:val="00920F87"/>
    <w:rsid w:val="00923424"/>
    <w:rsid w:val="0092488C"/>
    <w:rsid w:val="009254BC"/>
    <w:rsid w:val="00925514"/>
    <w:rsid w:val="009257FA"/>
    <w:rsid w:val="00930CAB"/>
    <w:rsid w:val="00937DE1"/>
    <w:rsid w:val="009438AC"/>
    <w:rsid w:val="009475A1"/>
    <w:rsid w:val="00950F0F"/>
    <w:rsid w:val="0095698E"/>
    <w:rsid w:val="00957B1E"/>
    <w:rsid w:val="0096102B"/>
    <w:rsid w:val="0096270E"/>
    <w:rsid w:val="009645F1"/>
    <w:rsid w:val="0096723F"/>
    <w:rsid w:val="00970E48"/>
    <w:rsid w:val="00974C47"/>
    <w:rsid w:val="00974D6F"/>
    <w:rsid w:val="00975129"/>
    <w:rsid w:val="00976348"/>
    <w:rsid w:val="009812EB"/>
    <w:rsid w:val="009831D5"/>
    <w:rsid w:val="00987A06"/>
    <w:rsid w:val="00993273"/>
    <w:rsid w:val="00994EB4"/>
    <w:rsid w:val="009A1FB7"/>
    <w:rsid w:val="009A31CE"/>
    <w:rsid w:val="009B360E"/>
    <w:rsid w:val="009B476C"/>
    <w:rsid w:val="009B481A"/>
    <w:rsid w:val="009B6345"/>
    <w:rsid w:val="009B7A5D"/>
    <w:rsid w:val="009C1A80"/>
    <w:rsid w:val="009C4244"/>
    <w:rsid w:val="009D0C8B"/>
    <w:rsid w:val="009D0F64"/>
    <w:rsid w:val="009D2983"/>
    <w:rsid w:val="009D7D02"/>
    <w:rsid w:val="009E36A7"/>
    <w:rsid w:val="009E5E7C"/>
    <w:rsid w:val="009E6A2A"/>
    <w:rsid w:val="009F055B"/>
    <w:rsid w:val="009F32B2"/>
    <w:rsid w:val="009F3F1A"/>
    <w:rsid w:val="009F6B50"/>
    <w:rsid w:val="00A0084F"/>
    <w:rsid w:val="00A0339D"/>
    <w:rsid w:val="00A03CA2"/>
    <w:rsid w:val="00A05986"/>
    <w:rsid w:val="00A070C7"/>
    <w:rsid w:val="00A079EC"/>
    <w:rsid w:val="00A10287"/>
    <w:rsid w:val="00A137D7"/>
    <w:rsid w:val="00A1439D"/>
    <w:rsid w:val="00A148CB"/>
    <w:rsid w:val="00A21099"/>
    <w:rsid w:val="00A2651B"/>
    <w:rsid w:val="00A30C99"/>
    <w:rsid w:val="00A31F13"/>
    <w:rsid w:val="00A34421"/>
    <w:rsid w:val="00A368EA"/>
    <w:rsid w:val="00A369F9"/>
    <w:rsid w:val="00A405C4"/>
    <w:rsid w:val="00A41273"/>
    <w:rsid w:val="00A42E38"/>
    <w:rsid w:val="00A433EC"/>
    <w:rsid w:val="00A44241"/>
    <w:rsid w:val="00A47434"/>
    <w:rsid w:val="00A50116"/>
    <w:rsid w:val="00A50615"/>
    <w:rsid w:val="00A51C72"/>
    <w:rsid w:val="00A57354"/>
    <w:rsid w:val="00A601D6"/>
    <w:rsid w:val="00A60231"/>
    <w:rsid w:val="00A60E57"/>
    <w:rsid w:val="00A6438D"/>
    <w:rsid w:val="00A676BE"/>
    <w:rsid w:val="00A7031B"/>
    <w:rsid w:val="00A718A8"/>
    <w:rsid w:val="00A807FA"/>
    <w:rsid w:val="00A818B7"/>
    <w:rsid w:val="00A84819"/>
    <w:rsid w:val="00A857C0"/>
    <w:rsid w:val="00A85836"/>
    <w:rsid w:val="00A86292"/>
    <w:rsid w:val="00A86BF8"/>
    <w:rsid w:val="00A909BA"/>
    <w:rsid w:val="00A91E83"/>
    <w:rsid w:val="00A93164"/>
    <w:rsid w:val="00A94AE6"/>
    <w:rsid w:val="00A94D1A"/>
    <w:rsid w:val="00AA19E2"/>
    <w:rsid w:val="00AA1A73"/>
    <w:rsid w:val="00AA1DF7"/>
    <w:rsid w:val="00AA2FCE"/>
    <w:rsid w:val="00AA3C6B"/>
    <w:rsid w:val="00AA4D0F"/>
    <w:rsid w:val="00AA772E"/>
    <w:rsid w:val="00AB1EAE"/>
    <w:rsid w:val="00AB245F"/>
    <w:rsid w:val="00AB2ECA"/>
    <w:rsid w:val="00AB4EF4"/>
    <w:rsid w:val="00AC18B4"/>
    <w:rsid w:val="00AC2394"/>
    <w:rsid w:val="00AC68D4"/>
    <w:rsid w:val="00AD0B7D"/>
    <w:rsid w:val="00AD1E9C"/>
    <w:rsid w:val="00AD23FC"/>
    <w:rsid w:val="00AD296B"/>
    <w:rsid w:val="00AD2E69"/>
    <w:rsid w:val="00AD3250"/>
    <w:rsid w:val="00AE3CDD"/>
    <w:rsid w:val="00AE74B0"/>
    <w:rsid w:val="00AF15A5"/>
    <w:rsid w:val="00AF1ACD"/>
    <w:rsid w:val="00AF2085"/>
    <w:rsid w:val="00AF3354"/>
    <w:rsid w:val="00AF6707"/>
    <w:rsid w:val="00AF7FAF"/>
    <w:rsid w:val="00B01FE4"/>
    <w:rsid w:val="00B02956"/>
    <w:rsid w:val="00B0469B"/>
    <w:rsid w:val="00B049AB"/>
    <w:rsid w:val="00B05C35"/>
    <w:rsid w:val="00B05D5B"/>
    <w:rsid w:val="00B066C8"/>
    <w:rsid w:val="00B13BDF"/>
    <w:rsid w:val="00B14166"/>
    <w:rsid w:val="00B16921"/>
    <w:rsid w:val="00B17EFE"/>
    <w:rsid w:val="00B22DAD"/>
    <w:rsid w:val="00B242AB"/>
    <w:rsid w:val="00B245DB"/>
    <w:rsid w:val="00B2599D"/>
    <w:rsid w:val="00B30BFD"/>
    <w:rsid w:val="00B3190E"/>
    <w:rsid w:val="00B4064D"/>
    <w:rsid w:val="00B43617"/>
    <w:rsid w:val="00B43723"/>
    <w:rsid w:val="00B44153"/>
    <w:rsid w:val="00B44AF4"/>
    <w:rsid w:val="00B45271"/>
    <w:rsid w:val="00B53E0E"/>
    <w:rsid w:val="00B54478"/>
    <w:rsid w:val="00B54AFA"/>
    <w:rsid w:val="00B54D40"/>
    <w:rsid w:val="00B5660C"/>
    <w:rsid w:val="00B57362"/>
    <w:rsid w:val="00B64CFA"/>
    <w:rsid w:val="00B65BB4"/>
    <w:rsid w:val="00B704C2"/>
    <w:rsid w:val="00B73C81"/>
    <w:rsid w:val="00B90798"/>
    <w:rsid w:val="00B942C5"/>
    <w:rsid w:val="00BA00D3"/>
    <w:rsid w:val="00BA193F"/>
    <w:rsid w:val="00BA2D09"/>
    <w:rsid w:val="00BA3A52"/>
    <w:rsid w:val="00BA3B03"/>
    <w:rsid w:val="00BA4CAA"/>
    <w:rsid w:val="00BA4D72"/>
    <w:rsid w:val="00BA5422"/>
    <w:rsid w:val="00BA54B4"/>
    <w:rsid w:val="00BA736E"/>
    <w:rsid w:val="00BB1D34"/>
    <w:rsid w:val="00BB296F"/>
    <w:rsid w:val="00BB4197"/>
    <w:rsid w:val="00BB6ADD"/>
    <w:rsid w:val="00BB6DF8"/>
    <w:rsid w:val="00BC295F"/>
    <w:rsid w:val="00BC67ED"/>
    <w:rsid w:val="00BC7684"/>
    <w:rsid w:val="00BD5256"/>
    <w:rsid w:val="00BE0383"/>
    <w:rsid w:val="00BE304F"/>
    <w:rsid w:val="00BE5957"/>
    <w:rsid w:val="00BE6631"/>
    <w:rsid w:val="00BF4D85"/>
    <w:rsid w:val="00BF52FF"/>
    <w:rsid w:val="00C10724"/>
    <w:rsid w:val="00C22A52"/>
    <w:rsid w:val="00C23B06"/>
    <w:rsid w:val="00C24B77"/>
    <w:rsid w:val="00C27BF1"/>
    <w:rsid w:val="00C31D8F"/>
    <w:rsid w:val="00C4308A"/>
    <w:rsid w:val="00C52DB0"/>
    <w:rsid w:val="00C55023"/>
    <w:rsid w:val="00C56340"/>
    <w:rsid w:val="00C5646E"/>
    <w:rsid w:val="00C56FFB"/>
    <w:rsid w:val="00C57AFB"/>
    <w:rsid w:val="00C62A15"/>
    <w:rsid w:val="00C65492"/>
    <w:rsid w:val="00C65ADB"/>
    <w:rsid w:val="00C70885"/>
    <w:rsid w:val="00C71352"/>
    <w:rsid w:val="00C735DD"/>
    <w:rsid w:val="00C73FB7"/>
    <w:rsid w:val="00C746EC"/>
    <w:rsid w:val="00C75A8F"/>
    <w:rsid w:val="00C76E47"/>
    <w:rsid w:val="00C80BD3"/>
    <w:rsid w:val="00C80C5D"/>
    <w:rsid w:val="00C81210"/>
    <w:rsid w:val="00C82DE6"/>
    <w:rsid w:val="00C82E1D"/>
    <w:rsid w:val="00C84FBC"/>
    <w:rsid w:val="00C85C94"/>
    <w:rsid w:val="00C87FD8"/>
    <w:rsid w:val="00C90259"/>
    <w:rsid w:val="00C90F9E"/>
    <w:rsid w:val="00C9365D"/>
    <w:rsid w:val="00C93D11"/>
    <w:rsid w:val="00C94272"/>
    <w:rsid w:val="00C9585B"/>
    <w:rsid w:val="00C969F6"/>
    <w:rsid w:val="00CA1146"/>
    <w:rsid w:val="00CA2F03"/>
    <w:rsid w:val="00CA3B07"/>
    <w:rsid w:val="00CA3DBF"/>
    <w:rsid w:val="00CB01EF"/>
    <w:rsid w:val="00CB0DFC"/>
    <w:rsid w:val="00CB1420"/>
    <w:rsid w:val="00CB327E"/>
    <w:rsid w:val="00CB3663"/>
    <w:rsid w:val="00CB7261"/>
    <w:rsid w:val="00CB7D79"/>
    <w:rsid w:val="00CC427C"/>
    <w:rsid w:val="00CC47F0"/>
    <w:rsid w:val="00CD0728"/>
    <w:rsid w:val="00CD0E4A"/>
    <w:rsid w:val="00CD5559"/>
    <w:rsid w:val="00CE14CB"/>
    <w:rsid w:val="00CE2759"/>
    <w:rsid w:val="00CE350E"/>
    <w:rsid w:val="00CE491C"/>
    <w:rsid w:val="00CE59FF"/>
    <w:rsid w:val="00CF0A70"/>
    <w:rsid w:val="00CF28B6"/>
    <w:rsid w:val="00CF5DDF"/>
    <w:rsid w:val="00CF6279"/>
    <w:rsid w:val="00CF7048"/>
    <w:rsid w:val="00CF7432"/>
    <w:rsid w:val="00D00A87"/>
    <w:rsid w:val="00D066E3"/>
    <w:rsid w:val="00D13B09"/>
    <w:rsid w:val="00D147E9"/>
    <w:rsid w:val="00D15769"/>
    <w:rsid w:val="00D2215C"/>
    <w:rsid w:val="00D25010"/>
    <w:rsid w:val="00D251CC"/>
    <w:rsid w:val="00D312AC"/>
    <w:rsid w:val="00D31EA9"/>
    <w:rsid w:val="00D33037"/>
    <w:rsid w:val="00D34191"/>
    <w:rsid w:val="00D3573A"/>
    <w:rsid w:val="00D3628E"/>
    <w:rsid w:val="00D368FD"/>
    <w:rsid w:val="00D37839"/>
    <w:rsid w:val="00D40C53"/>
    <w:rsid w:val="00D44AE9"/>
    <w:rsid w:val="00D46FE7"/>
    <w:rsid w:val="00D50024"/>
    <w:rsid w:val="00D51691"/>
    <w:rsid w:val="00D60660"/>
    <w:rsid w:val="00D6192E"/>
    <w:rsid w:val="00D66A82"/>
    <w:rsid w:val="00D712BC"/>
    <w:rsid w:val="00D7243E"/>
    <w:rsid w:val="00D7339F"/>
    <w:rsid w:val="00D73ED0"/>
    <w:rsid w:val="00D7642C"/>
    <w:rsid w:val="00D803D1"/>
    <w:rsid w:val="00D83282"/>
    <w:rsid w:val="00D87D92"/>
    <w:rsid w:val="00D93344"/>
    <w:rsid w:val="00D943A0"/>
    <w:rsid w:val="00D97BB6"/>
    <w:rsid w:val="00DA00AC"/>
    <w:rsid w:val="00DA09CD"/>
    <w:rsid w:val="00DA4824"/>
    <w:rsid w:val="00DB1451"/>
    <w:rsid w:val="00DB30BA"/>
    <w:rsid w:val="00DB6211"/>
    <w:rsid w:val="00DB6642"/>
    <w:rsid w:val="00DB6BAE"/>
    <w:rsid w:val="00DC27A6"/>
    <w:rsid w:val="00DC4911"/>
    <w:rsid w:val="00DC552F"/>
    <w:rsid w:val="00DC6B13"/>
    <w:rsid w:val="00DD1842"/>
    <w:rsid w:val="00DD1C4E"/>
    <w:rsid w:val="00DD2010"/>
    <w:rsid w:val="00DD3DD6"/>
    <w:rsid w:val="00DD6CE6"/>
    <w:rsid w:val="00DD71B7"/>
    <w:rsid w:val="00DE18A1"/>
    <w:rsid w:val="00DE45A3"/>
    <w:rsid w:val="00DF1715"/>
    <w:rsid w:val="00DF2251"/>
    <w:rsid w:val="00DF30E1"/>
    <w:rsid w:val="00DF4C43"/>
    <w:rsid w:val="00E01133"/>
    <w:rsid w:val="00E020B9"/>
    <w:rsid w:val="00E03F3F"/>
    <w:rsid w:val="00E03FB3"/>
    <w:rsid w:val="00E05F86"/>
    <w:rsid w:val="00E06B06"/>
    <w:rsid w:val="00E10E21"/>
    <w:rsid w:val="00E14B23"/>
    <w:rsid w:val="00E15F13"/>
    <w:rsid w:val="00E169B7"/>
    <w:rsid w:val="00E178D5"/>
    <w:rsid w:val="00E20BD2"/>
    <w:rsid w:val="00E256D1"/>
    <w:rsid w:val="00E27E18"/>
    <w:rsid w:val="00E34002"/>
    <w:rsid w:val="00E35637"/>
    <w:rsid w:val="00E35914"/>
    <w:rsid w:val="00E35D75"/>
    <w:rsid w:val="00E3671C"/>
    <w:rsid w:val="00E414BC"/>
    <w:rsid w:val="00E4490A"/>
    <w:rsid w:val="00E5031F"/>
    <w:rsid w:val="00E52AD6"/>
    <w:rsid w:val="00E56B49"/>
    <w:rsid w:val="00E570F8"/>
    <w:rsid w:val="00E609A4"/>
    <w:rsid w:val="00E62AB2"/>
    <w:rsid w:val="00E67960"/>
    <w:rsid w:val="00E72CAE"/>
    <w:rsid w:val="00E73226"/>
    <w:rsid w:val="00E745D0"/>
    <w:rsid w:val="00E749D8"/>
    <w:rsid w:val="00E74F9D"/>
    <w:rsid w:val="00E75BDA"/>
    <w:rsid w:val="00E80507"/>
    <w:rsid w:val="00E8232D"/>
    <w:rsid w:val="00E863FC"/>
    <w:rsid w:val="00E868C7"/>
    <w:rsid w:val="00E86A44"/>
    <w:rsid w:val="00E86ABC"/>
    <w:rsid w:val="00E87012"/>
    <w:rsid w:val="00E91E55"/>
    <w:rsid w:val="00E93782"/>
    <w:rsid w:val="00E942D5"/>
    <w:rsid w:val="00E94649"/>
    <w:rsid w:val="00EA20B6"/>
    <w:rsid w:val="00EB1499"/>
    <w:rsid w:val="00EB1E44"/>
    <w:rsid w:val="00EB20F0"/>
    <w:rsid w:val="00EB4E66"/>
    <w:rsid w:val="00EB67C2"/>
    <w:rsid w:val="00EB6EA6"/>
    <w:rsid w:val="00ED46C5"/>
    <w:rsid w:val="00ED519B"/>
    <w:rsid w:val="00ED6686"/>
    <w:rsid w:val="00EE4353"/>
    <w:rsid w:val="00EE5D1B"/>
    <w:rsid w:val="00EE746D"/>
    <w:rsid w:val="00EF633E"/>
    <w:rsid w:val="00F0097C"/>
    <w:rsid w:val="00F0347E"/>
    <w:rsid w:val="00F034AD"/>
    <w:rsid w:val="00F03BAB"/>
    <w:rsid w:val="00F061E0"/>
    <w:rsid w:val="00F1088B"/>
    <w:rsid w:val="00F1147B"/>
    <w:rsid w:val="00F11505"/>
    <w:rsid w:val="00F122A0"/>
    <w:rsid w:val="00F14C09"/>
    <w:rsid w:val="00F15B18"/>
    <w:rsid w:val="00F2151B"/>
    <w:rsid w:val="00F23485"/>
    <w:rsid w:val="00F361E8"/>
    <w:rsid w:val="00F40E86"/>
    <w:rsid w:val="00F42648"/>
    <w:rsid w:val="00F42F12"/>
    <w:rsid w:val="00F43F73"/>
    <w:rsid w:val="00F5594E"/>
    <w:rsid w:val="00F63221"/>
    <w:rsid w:val="00F73A0D"/>
    <w:rsid w:val="00F75D51"/>
    <w:rsid w:val="00F75D5B"/>
    <w:rsid w:val="00F770D7"/>
    <w:rsid w:val="00F83B1F"/>
    <w:rsid w:val="00F86863"/>
    <w:rsid w:val="00F87B0B"/>
    <w:rsid w:val="00F92E8C"/>
    <w:rsid w:val="00F93F7D"/>
    <w:rsid w:val="00F942E1"/>
    <w:rsid w:val="00F94D15"/>
    <w:rsid w:val="00F956AF"/>
    <w:rsid w:val="00FA5903"/>
    <w:rsid w:val="00FA66A6"/>
    <w:rsid w:val="00FA72C5"/>
    <w:rsid w:val="00FB0F37"/>
    <w:rsid w:val="00FB2F34"/>
    <w:rsid w:val="00FB4291"/>
    <w:rsid w:val="00FB483F"/>
    <w:rsid w:val="00FB5225"/>
    <w:rsid w:val="00FC012F"/>
    <w:rsid w:val="00FC0B3B"/>
    <w:rsid w:val="00FC50E4"/>
    <w:rsid w:val="00FC6224"/>
    <w:rsid w:val="00FC76CC"/>
    <w:rsid w:val="00FD0E51"/>
    <w:rsid w:val="00FD14A6"/>
    <w:rsid w:val="00FD193D"/>
    <w:rsid w:val="00FD1EDC"/>
    <w:rsid w:val="00FD5DC9"/>
    <w:rsid w:val="00FD604A"/>
    <w:rsid w:val="00FE26FF"/>
    <w:rsid w:val="00FE3221"/>
    <w:rsid w:val="00FE5B88"/>
    <w:rsid w:val="00FE7E4E"/>
    <w:rsid w:val="00FF1AAD"/>
    <w:rsid w:val="00FF4C33"/>
    <w:rsid w:val="00FF5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09EE"/>
  <w15:chartTrackingRefBased/>
  <w15:docId w15:val="{178DE78F-F469-4745-B383-B83D3CD0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B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192E"/>
    <w:pPr>
      <w:spacing w:after="0" w:line="240" w:lineRule="auto"/>
    </w:pPr>
  </w:style>
  <w:style w:type="paragraph" w:styleId="Textonotapie">
    <w:name w:val="footnote text"/>
    <w:basedOn w:val="Normal"/>
    <w:link w:val="TextonotapieCar"/>
    <w:uiPriority w:val="99"/>
    <w:semiHidden/>
    <w:unhideWhenUsed/>
    <w:rsid w:val="00A506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0615"/>
    <w:rPr>
      <w:sz w:val="20"/>
      <w:szCs w:val="20"/>
    </w:rPr>
  </w:style>
  <w:style w:type="character" w:styleId="Refdenotaalpie">
    <w:name w:val="footnote reference"/>
    <w:basedOn w:val="Fuentedeprrafopredeter"/>
    <w:uiPriority w:val="99"/>
    <w:semiHidden/>
    <w:unhideWhenUsed/>
    <w:rsid w:val="00A50615"/>
    <w:rPr>
      <w:vertAlign w:val="superscript"/>
    </w:rPr>
  </w:style>
  <w:style w:type="paragraph" w:styleId="Encabezado">
    <w:name w:val="header"/>
    <w:basedOn w:val="Normal"/>
    <w:link w:val="EncabezadoCar"/>
    <w:uiPriority w:val="99"/>
    <w:unhideWhenUsed/>
    <w:rsid w:val="00547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BAC"/>
  </w:style>
  <w:style w:type="paragraph" w:styleId="Piedepgina">
    <w:name w:val="footer"/>
    <w:basedOn w:val="Normal"/>
    <w:link w:val="PiedepginaCar"/>
    <w:uiPriority w:val="99"/>
    <w:unhideWhenUsed/>
    <w:rsid w:val="00547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BAC"/>
  </w:style>
  <w:style w:type="paragraph" w:styleId="Prrafodelista">
    <w:name w:val="List Paragraph"/>
    <w:basedOn w:val="Normal"/>
    <w:uiPriority w:val="34"/>
    <w:qFormat/>
    <w:rsid w:val="00610588"/>
    <w:pPr>
      <w:ind w:left="720"/>
      <w:contextualSpacing/>
    </w:pPr>
  </w:style>
  <w:style w:type="character" w:styleId="Hipervnculo">
    <w:name w:val="Hyperlink"/>
    <w:basedOn w:val="Fuentedeprrafopredeter"/>
    <w:uiPriority w:val="99"/>
    <w:unhideWhenUsed/>
    <w:rsid w:val="00CE350E"/>
    <w:rPr>
      <w:color w:val="0563C1" w:themeColor="hyperlink"/>
      <w:u w:val="single"/>
    </w:rPr>
  </w:style>
  <w:style w:type="table" w:styleId="Tablaconcuadrcula">
    <w:name w:val="Table Grid"/>
    <w:basedOn w:val="Tablanormal"/>
    <w:uiPriority w:val="39"/>
    <w:rsid w:val="0035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645F1"/>
    <w:rPr>
      <w:color w:val="605E5C"/>
      <w:shd w:val="clear" w:color="auto" w:fill="E1DFDD"/>
    </w:rPr>
  </w:style>
  <w:style w:type="character" w:styleId="Hipervnculovisitado">
    <w:name w:val="FollowedHyperlink"/>
    <w:basedOn w:val="Fuentedeprrafopredeter"/>
    <w:uiPriority w:val="99"/>
    <w:semiHidden/>
    <w:unhideWhenUsed/>
    <w:rsid w:val="00247847"/>
    <w:rPr>
      <w:color w:val="954F72" w:themeColor="followedHyperlink"/>
      <w:u w:val="single"/>
    </w:rPr>
  </w:style>
  <w:style w:type="paragraph" w:styleId="Textodeglobo">
    <w:name w:val="Balloon Text"/>
    <w:basedOn w:val="Normal"/>
    <w:link w:val="TextodegloboCar"/>
    <w:uiPriority w:val="99"/>
    <w:semiHidden/>
    <w:unhideWhenUsed/>
    <w:rsid w:val="00335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673">
      <w:bodyDiv w:val="1"/>
      <w:marLeft w:val="0"/>
      <w:marRight w:val="0"/>
      <w:marTop w:val="0"/>
      <w:marBottom w:val="0"/>
      <w:divBdr>
        <w:top w:val="none" w:sz="0" w:space="0" w:color="auto"/>
        <w:left w:val="none" w:sz="0" w:space="0" w:color="auto"/>
        <w:bottom w:val="none" w:sz="0" w:space="0" w:color="auto"/>
        <w:right w:val="none" w:sz="0" w:space="0" w:color="auto"/>
      </w:divBdr>
    </w:div>
    <w:div w:id="221916326">
      <w:bodyDiv w:val="1"/>
      <w:marLeft w:val="0"/>
      <w:marRight w:val="0"/>
      <w:marTop w:val="0"/>
      <w:marBottom w:val="0"/>
      <w:divBdr>
        <w:top w:val="none" w:sz="0" w:space="0" w:color="auto"/>
        <w:left w:val="none" w:sz="0" w:space="0" w:color="auto"/>
        <w:bottom w:val="none" w:sz="0" w:space="0" w:color="auto"/>
        <w:right w:val="none" w:sz="0" w:space="0" w:color="auto"/>
      </w:divBdr>
    </w:div>
    <w:div w:id="275910586">
      <w:bodyDiv w:val="1"/>
      <w:marLeft w:val="0"/>
      <w:marRight w:val="0"/>
      <w:marTop w:val="0"/>
      <w:marBottom w:val="0"/>
      <w:divBdr>
        <w:top w:val="none" w:sz="0" w:space="0" w:color="auto"/>
        <w:left w:val="none" w:sz="0" w:space="0" w:color="auto"/>
        <w:bottom w:val="none" w:sz="0" w:space="0" w:color="auto"/>
        <w:right w:val="none" w:sz="0" w:space="0" w:color="auto"/>
      </w:divBdr>
    </w:div>
    <w:div w:id="453521128">
      <w:bodyDiv w:val="1"/>
      <w:marLeft w:val="0"/>
      <w:marRight w:val="0"/>
      <w:marTop w:val="0"/>
      <w:marBottom w:val="0"/>
      <w:divBdr>
        <w:top w:val="none" w:sz="0" w:space="0" w:color="auto"/>
        <w:left w:val="none" w:sz="0" w:space="0" w:color="auto"/>
        <w:bottom w:val="none" w:sz="0" w:space="0" w:color="auto"/>
        <w:right w:val="none" w:sz="0" w:space="0" w:color="auto"/>
      </w:divBdr>
    </w:div>
    <w:div w:id="763184956">
      <w:bodyDiv w:val="1"/>
      <w:marLeft w:val="0"/>
      <w:marRight w:val="0"/>
      <w:marTop w:val="0"/>
      <w:marBottom w:val="0"/>
      <w:divBdr>
        <w:top w:val="none" w:sz="0" w:space="0" w:color="auto"/>
        <w:left w:val="none" w:sz="0" w:space="0" w:color="auto"/>
        <w:bottom w:val="none" w:sz="0" w:space="0" w:color="auto"/>
        <w:right w:val="none" w:sz="0" w:space="0" w:color="auto"/>
      </w:divBdr>
    </w:div>
    <w:div w:id="878469804">
      <w:bodyDiv w:val="1"/>
      <w:marLeft w:val="0"/>
      <w:marRight w:val="0"/>
      <w:marTop w:val="0"/>
      <w:marBottom w:val="0"/>
      <w:divBdr>
        <w:top w:val="none" w:sz="0" w:space="0" w:color="auto"/>
        <w:left w:val="none" w:sz="0" w:space="0" w:color="auto"/>
        <w:bottom w:val="none" w:sz="0" w:space="0" w:color="auto"/>
        <w:right w:val="none" w:sz="0" w:space="0" w:color="auto"/>
      </w:divBdr>
    </w:div>
    <w:div w:id="992874664">
      <w:bodyDiv w:val="1"/>
      <w:marLeft w:val="0"/>
      <w:marRight w:val="0"/>
      <w:marTop w:val="0"/>
      <w:marBottom w:val="0"/>
      <w:divBdr>
        <w:top w:val="none" w:sz="0" w:space="0" w:color="auto"/>
        <w:left w:val="none" w:sz="0" w:space="0" w:color="auto"/>
        <w:bottom w:val="none" w:sz="0" w:space="0" w:color="auto"/>
        <w:right w:val="none" w:sz="0" w:space="0" w:color="auto"/>
      </w:divBdr>
    </w:div>
    <w:div w:id="1061513573">
      <w:bodyDiv w:val="1"/>
      <w:marLeft w:val="0"/>
      <w:marRight w:val="0"/>
      <w:marTop w:val="0"/>
      <w:marBottom w:val="0"/>
      <w:divBdr>
        <w:top w:val="none" w:sz="0" w:space="0" w:color="auto"/>
        <w:left w:val="none" w:sz="0" w:space="0" w:color="auto"/>
        <w:bottom w:val="none" w:sz="0" w:space="0" w:color="auto"/>
        <w:right w:val="none" w:sz="0" w:space="0" w:color="auto"/>
      </w:divBdr>
    </w:div>
    <w:div w:id="1106314687">
      <w:bodyDiv w:val="1"/>
      <w:marLeft w:val="0"/>
      <w:marRight w:val="0"/>
      <w:marTop w:val="0"/>
      <w:marBottom w:val="0"/>
      <w:divBdr>
        <w:top w:val="none" w:sz="0" w:space="0" w:color="auto"/>
        <w:left w:val="none" w:sz="0" w:space="0" w:color="auto"/>
        <w:bottom w:val="none" w:sz="0" w:space="0" w:color="auto"/>
        <w:right w:val="none" w:sz="0" w:space="0" w:color="auto"/>
      </w:divBdr>
    </w:div>
    <w:div w:id="1143428234">
      <w:bodyDiv w:val="1"/>
      <w:marLeft w:val="0"/>
      <w:marRight w:val="0"/>
      <w:marTop w:val="0"/>
      <w:marBottom w:val="0"/>
      <w:divBdr>
        <w:top w:val="none" w:sz="0" w:space="0" w:color="auto"/>
        <w:left w:val="none" w:sz="0" w:space="0" w:color="auto"/>
        <w:bottom w:val="none" w:sz="0" w:space="0" w:color="auto"/>
        <w:right w:val="none" w:sz="0" w:space="0" w:color="auto"/>
      </w:divBdr>
    </w:div>
    <w:div w:id="1308702748">
      <w:bodyDiv w:val="1"/>
      <w:marLeft w:val="0"/>
      <w:marRight w:val="0"/>
      <w:marTop w:val="0"/>
      <w:marBottom w:val="0"/>
      <w:divBdr>
        <w:top w:val="none" w:sz="0" w:space="0" w:color="auto"/>
        <w:left w:val="none" w:sz="0" w:space="0" w:color="auto"/>
        <w:bottom w:val="none" w:sz="0" w:space="0" w:color="auto"/>
        <w:right w:val="none" w:sz="0" w:space="0" w:color="auto"/>
      </w:divBdr>
    </w:div>
    <w:div w:id="1452549726">
      <w:bodyDiv w:val="1"/>
      <w:marLeft w:val="0"/>
      <w:marRight w:val="0"/>
      <w:marTop w:val="0"/>
      <w:marBottom w:val="0"/>
      <w:divBdr>
        <w:top w:val="none" w:sz="0" w:space="0" w:color="auto"/>
        <w:left w:val="none" w:sz="0" w:space="0" w:color="auto"/>
        <w:bottom w:val="none" w:sz="0" w:space="0" w:color="auto"/>
        <w:right w:val="none" w:sz="0" w:space="0" w:color="auto"/>
      </w:divBdr>
    </w:div>
    <w:div w:id="21278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evalmed.es/2021/05/21/pv-las-variables-combinadas-son-no-experien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0DA4-ACF6-4252-B586-1B2F9CE1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9</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dc:creator>
  <cp:keywords/>
  <dc:description/>
  <cp:lastModifiedBy>GALO AGUSTIN SANCHEZ ROBLES</cp:lastModifiedBy>
  <cp:revision>71</cp:revision>
  <cp:lastPrinted>2023-01-01T12:12:00Z</cp:lastPrinted>
  <dcterms:created xsi:type="dcterms:W3CDTF">2022-11-02T06:59:00Z</dcterms:created>
  <dcterms:modified xsi:type="dcterms:W3CDTF">2023-03-29T11:38:00Z</dcterms:modified>
</cp:coreProperties>
</file>